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Georgia" w:hAnsi="Georgia"/>
          <w:color w:val="17494B"/>
        </w:rPr>
        <w:t>Dermatology Staging &amp; Grading Chart</w:t>
      </w:r>
    </w:p>
    <w:p>
      <w:r>
        <w:rPr>
          <w:i/>
          <w:color w:val="666666"/>
          <w:sz w:val="17"/>
        </w:rPr>
        <w:t>Editable Word copy of the PA_Quizzes study aid. Headings use real Word styles, so the navigation pane and the contents field below both work, and restyling one heading restyles them all.</w:t>
      </w:r>
    </w:p>
    <w:p>
      <w:r>
        <w:fldChar w:fldCharType="begin"/>
        <w:instrText xml:space="preserve">TOC \o "1-3" \h \z \u</w:instrText>
        <w:fldChar w:fldCharType="separate"/>
        <w:fldChar w:fldCharType="end"/>
      </w:r>
      <w:r>
        <w:rPr>
          <w:i/>
          <w:color w:val="777777"/>
          <w:sz w:val="17"/>
        </w:rPr>
        <w:t xml:space="preserve">  [In Word: right-click here and choose Update Field to build the contents.]</w:t>
      </w:r>
    </w:p>
    <w:p/>
    <w:p>
      <w:pPr>
        <w:spacing w:after="120"/>
      </w:pPr>
      <w:r>
        <w:rPr>
          <w:b w:val="0"/>
          <w:i w:val="0"/>
        </w:rPr>
        <w:t>Clinical Medicine and Surgery I · Exam 1 · every staged, graded or threshold system in the block</w:t>
      </w:r>
    </w:p>
    <w:p>
      <w:pPr>
        <w:spacing w:after="120"/>
      </w:pPr>
      <w:r>
        <w:rPr>
          <w:b/>
          <w:i w:val="0"/>
        </w:rPr>
        <w:t>20 systems, 90 levels, 24 figures, all from the CMS Exam 1 dermatology decks.</w:t>
      </w:r>
      <w:r>
        <w:rPr>
          <w:b w:val="0"/>
          <w:i w:val="0"/>
        </w:rPr>
        <w:t xml:space="preserve"> Each section cites the lecture and slide it came from, and </w:t>
      </w:r>
      <w:r>
        <w:rPr>
          <w:b/>
          <w:i w:val="0"/>
        </w:rPr>
        <w:t>every photograph and table enlarges on click</w:t>
      </w:r>
      <w:r>
        <w:rPr>
          <w:b w:val="0"/>
          <w:i w:val="0"/>
        </w:rPr>
        <w:t xml:space="preserve"> — click to open, click again to magnify, arrow keys to step through, Esc or × to come back. Deliberately </w:t>
      </w:r>
      <w:r>
        <w:rPr>
          <w:b/>
          <w:i w:val="0"/>
        </w:rPr>
        <w:t>CMS only</w:t>
      </w:r>
      <w:r>
        <w:rPr>
          <w:b w:val="0"/>
          <w:i w:val="0"/>
        </w:rPr>
        <w:t xml:space="preserve"> — Physical Diagnosis 2 also teaches pressure ulcer staging and words Stage III differently, and Clinical Pathophysiology gives wound-healing phases with day ranges these decks omit. Mixing them would have you revising a version your CMS examiner never taught. </w:t>
      </w:r>
      <w:r>
        <w:br/>
      </w:r>
      <w:r>
        <w:br/>
      </w:r>
      <w:r>
        <w:rPr>
          <w:b/>
          <w:i w:val="0"/>
        </w:rPr>
        <w:t>Four of these systems exist in the decks only as pictures</w:t>
      </w:r>
      <w:r>
        <w:rPr>
          <w:b w:val="0"/>
          <w:i w:val="0"/>
        </w:rPr>
        <w:t xml:space="preserve">, spread across five slides: the pressure injury table (slides 33–34), Clark levels (50), the melanoma stage figure (53) and the TNM table (54). Every one of those slides extracts as no text at all — they had to be read off the images and typed out. </w:t>
      </w:r>
      <w:r>
        <w:br/>
      </w:r>
      <w:r>
        <w:br/>
      </w:r>
      <w:r>
        <w:rPr>
          <w:b w:val="0"/>
          <w:i w:val="0"/>
        </w:rPr>
        <w:t xml:space="preserve"> Where a deck names a system but never gives its levels — acne, where the deck says outright there is “no universal classification system” — that is said plainly rather than filled in from outside the lectures. </w:t>
      </w:r>
    </w:p>
    <w:p>
      <w:pPr>
        <w:pStyle w:val="Heading1"/>
        <w:spacing w:before="280" w:after="100"/>
      </w:pPr>
      <w:r>
        <w:rPr>
          <w:rFonts w:ascii="Georgia" w:hAnsi="Georgia"/>
          <w:color w:val="17494B"/>
        </w:rPr>
        <w:t>Pressure injury staging</w:t>
      </w:r>
    </w:p>
    <w:p>
      <w:pPr>
        <w:spacing w:after="120"/>
      </w:pPr>
      <w:r>
        <w:rPr>
          <w:b w:val="0"/>
          <w:i w:val="0"/>
        </w:rPr>
        <w:t>Benign Skin Lesions · slides 33–34</w:t>
      </w:r>
    </w:p>
    <w:p>
      <w:pPr>
        <w:spacing w:after="120"/>
      </w:pPr>
      <w:r>
        <w:rPr>
          <w:b w:val="0"/>
          <w:i w:val="0"/>
        </w:rPr>
        <w:t xml:space="preserve">The deck presents this as the National Pressure Injury Advisory Panel table, shown for both lightly and darkly pigmented skin. </w:t>
      </w:r>
      <w:r>
        <w:rPr>
          <w:b/>
          <w:i w:val="0"/>
        </w:rPr>
        <w:t>Both slides are images — the text does not extract</w:t>
      </w:r>
      <w:r>
        <w:rPr>
          <w:b w:val="0"/>
          <w:i w:val="0"/>
        </w:rPr>
        <w:t xml:space="preserve">, so this is transcribed from the pictures. Stage 1 is the one to know cold: the erythema is </w:t>
      </w:r>
      <w:r>
        <w:rPr>
          <w:b/>
          <w:i w:val="0"/>
        </w:rPr>
        <w:t>non-blanchable</w:t>
      </w:r>
      <w:r>
        <w:rPr>
          <w:b w:val="0"/>
          <w:i w:val="0"/>
        </w:rPr>
        <w:t xml:space="preserve"> and the skin is </w:t>
      </w:r>
      <w:r>
        <w:rPr>
          <w:b/>
          <w:i w:val="0"/>
        </w:rPr>
        <w:t>intact</w:t>
      </w:r>
      <w:r>
        <w:rPr>
          <w:b w:val="0"/>
          <w:i w:val="0"/>
        </w:rPr>
        <w: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Stage 1</w:t>
            </w:r>
          </w:p>
        </w:tc>
        <w:tc>
          <w:tcPr>
            <w:tcW w:type="dxa" w:w="5112"/>
          </w:tcPr>
          <w:p>
            <w:pPr>
              <w:spacing w:after="40"/>
            </w:pPr>
            <w:r>
              <w:rPr>
                <w:sz w:val="18"/>
              </w:rPr>
            </w:r>
            <w:r>
              <w:rPr>
                <w:b w:val="0"/>
                <w:i w:val="0"/>
                <w:sz w:val="18"/>
              </w:rPr>
              <w:t xml:space="preserve">Localized area of </w:t>
            </w:r>
            <w:r>
              <w:rPr>
                <w:b/>
                <w:i w:val="0"/>
                <w:sz w:val="18"/>
              </w:rPr>
              <w:t>non-blanchable erythema</w:t>
            </w:r>
            <w:r>
              <w:rPr>
                <w:b w:val="0"/>
                <w:i w:val="0"/>
                <w:sz w:val="18"/>
              </w:rPr>
              <w:t xml:space="preserve"> of </w:t>
            </w:r>
            <w:r>
              <w:rPr>
                <w:b/>
                <w:i w:val="0"/>
                <w:sz w:val="18"/>
              </w:rPr>
              <w:t>intact</w:t>
            </w:r>
            <w:r>
              <w:rPr>
                <w:b w:val="0"/>
                <w:i w:val="0"/>
                <w:sz w:val="18"/>
              </w:rPr>
              <w:t xml:space="preserve"> skin.</w:t>
            </w:r>
          </w:p>
        </w:tc>
      </w:tr>
      <w:tr>
        <w:tc>
          <w:tcPr>
            <w:tcW w:type="dxa" w:w="5112"/>
          </w:tcPr>
          <w:p>
            <w:pPr>
              <w:spacing w:after="40"/>
            </w:pPr>
            <w:r>
              <w:rPr>
                <w:sz w:val="18"/>
              </w:rPr>
            </w:r>
            <w:r>
              <w:rPr>
                <w:b w:val="0"/>
                <w:i w:val="0"/>
                <w:sz w:val="18"/>
              </w:rPr>
              <w:t>Stage 2</w:t>
            </w:r>
          </w:p>
        </w:tc>
        <w:tc>
          <w:tcPr>
            <w:tcW w:type="dxa" w:w="5112"/>
          </w:tcPr>
          <w:p>
            <w:pPr>
              <w:spacing w:after="40"/>
            </w:pPr>
            <w:r>
              <w:rPr>
                <w:sz w:val="18"/>
              </w:rPr>
            </w:r>
            <w:r>
              <w:rPr>
                <w:b/>
                <w:i w:val="0"/>
                <w:sz w:val="18"/>
              </w:rPr>
              <w:t>Partial-thickness</w:t>
            </w:r>
            <w:r>
              <w:rPr>
                <w:b w:val="0"/>
                <w:i w:val="0"/>
                <w:sz w:val="18"/>
              </w:rPr>
              <w:t xml:space="preserve"> skin loss with exposed dermis. Wound bed is viable, pink or red, and can be moist, shiny or dry.</w:t>
            </w:r>
          </w:p>
        </w:tc>
      </w:tr>
      <w:tr>
        <w:tc>
          <w:tcPr>
            <w:tcW w:type="dxa" w:w="5112"/>
          </w:tcPr>
          <w:p>
            <w:pPr>
              <w:spacing w:after="40"/>
            </w:pPr>
            <w:r>
              <w:rPr>
                <w:sz w:val="18"/>
              </w:rPr>
            </w:r>
            <w:r>
              <w:rPr>
                <w:b w:val="0"/>
                <w:i w:val="0"/>
                <w:sz w:val="18"/>
              </w:rPr>
              <w:t>Stage 3</w:t>
            </w:r>
          </w:p>
        </w:tc>
        <w:tc>
          <w:tcPr>
            <w:tcW w:type="dxa" w:w="5112"/>
          </w:tcPr>
          <w:p>
            <w:pPr>
              <w:spacing w:after="40"/>
            </w:pPr>
            <w:r>
              <w:rPr>
                <w:sz w:val="18"/>
              </w:rPr>
            </w:r>
            <w:r>
              <w:rPr>
                <w:b/>
                <w:i w:val="0"/>
                <w:sz w:val="18"/>
              </w:rPr>
              <w:t>Full thickness</w:t>
            </w:r>
            <w:r>
              <w:rPr>
                <w:b w:val="0"/>
                <w:i w:val="0"/>
                <w:sz w:val="18"/>
              </w:rPr>
              <w:t xml:space="preserve"> skin loss. </w:t>
            </w:r>
            <w:r>
              <w:rPr>
                <w:b/>
                <w:i w:val="0"/>
                <w:sz w:val="18"/>
              </w:rPr>
              <w:t>Adipose (fat) tissue is visible.</w:t>
            </w:r>
          </w:p>
        </w:tc>
      </w:tr>
      <w:tr>
        <w:tc>
          <w:tcPr>
            <w:tcW w:type="dxa" w:w="5112"/>
          </w:tcPr>
          <w:p>
            <w:pPr>
              <w:spacing w:after="40"/>
            </w:pPr>
            <w:r>
              <w:rPr>
                <w:sz w:val="18"/>
              </w:rPr>
            </w:r>
            <w:r>
              <w:rPr>
                <w:b w:val="0"/>
                <w:i w:val="0"/>
                <w:sz w:val="18"/>
              </w:rPr>
              <w:t>Stage 4</w:t>
            </w:r>
          </w:p>
        </w:tc>
        <w:tc>
          <w:tcPr>
            <w:tcW w:type="dxa" w:w="5112"/>
          </w:tcPr>
          <w:p>
            <w:pPr>
              <w:spacing w:after="40"/>
            </w:pPr>
            <w:r>
              <w:rPr>
                <w:sz w:val="18"/>
              </w:rPr>
            </w:r>
            <w:r>
              <w:rPr>
                <w:b w:val="0"/>
                <w:i w:val="0"/>
                <w:sz w:val="18"/>
              </w:rPr>
              <w:t xml:space="preserve">Full thickness skin </w:t>
            </w:r>
            <w:r>
              <w:rPr>
                <w:b/>
                <w:i w:val="0"/>
                <w:sz w:val="18"/>
              </w:rPr>
              <w:t>and tissue</w:t>
            </w:r>
            <w:r>
              <w:rPr>
                <w:b w:val="0"/>
                <w:i w:val="0"/>
                <w:sz w:val="18"/>
              </w:rPr>
              <w:t xml:space="preserve"> loss. </w:t>
            </w:r>
            <w:r>
              <w:rPr>
                <w:b/>
                <w:i w:val="0"/>
                <w:sz w:val="18"/>
              </w:rPr>
              <w:t>Exposed fascia, muscle, tendon, ligament, cartilage or bone.</w:t>
            </w:r>
          </w:p>
        </w:tc>
      </w:tr>
      <w:tr>
        <w:tc>
          <w:tcPr>
            <w:tcW w:type="dxa" w:w="5112"/>
          </w:tcPr>
          <w:p>
            <w:pPr>
              <w:spacing w:after="40"/>
            </w:pPr>
            <w:r>
              <w:rPr>
                <w:sz w:val="18"/>
              </w:rPr>
            </w:r>
            <w:r>
              <w:rPr>
                <w:b w:val="0"/>
                <w:i w:val="0"/>
                <w:sz w:val="18"/>
              </w:rPr>
              <w:t>Unstageable</w:t>
            </w:r>
          </w:p>
        </w:tc>
        <w:tc>
          <w:tcPr>
            <w:tcW w:type="dxa" w:w="5112"/>
          </w:tcPr>
          <w:p>
            <w:pPr>
              <w:spacing w:after="40"/>
            </w:pPr>
            <w:r>
              <w:rPr>
                <w:sz w:val="18"/>
              </w:rPr>
            </w:r>
            <w:r>
              <w:rPr>
                <w:b w:val="0"/>
                <w:i w:val="0"/>
                <w:sz w:val="18"/>
              </w:rPr>
              <w:t xml:space="preserve">Obscured full thickness skin and tissue loss. Extent </w:t>
            </w:r>
            <w:r>
              <w:rPr>
                <w:b/>
                <w:i w:val="0"/>
                <w:sz w:val="18"/>
              </w:rPr>
              <w:t>cannot be determined because it is obscured by slough or eschar</w:t>
            </w:r>
            <w:r>
              <w:rPr>
                <w:b w:val="0"/>
                <w:i w:val="0"/>
                <w:sz w:val="18"/>
              </w:rPr>
              <w:t>.</w:t>
            </w:r>
          </w:p>
        </w:tc>
      </w:tr>
      <w:tr>
        <w:tc>
          <w:tcPr>
            <w:tcW w:type="dxa" w:w="5112"/>
          </w:tcPr>
          <w:p>
            <w:pPr>
              <w:spacing w:after="40"/>
            </w:pPr>
            <w:r>
              <w:rPr>
                <w:sz w:val="18"/>
              </w:rPr>
            </w:r>
            <w:r>
              <w:rPr>
                <w:b w:val="0"/>
                <w:i w:val="0"/>
                <w:sz w:val="18"/>
              </w:rPr>
              <w:t>Deep Tissue</w:t>
            </w:r>
          </w:p>
        </w:tc>
        <w:tc>
          <w:tcPr>
            <w:tcW w:type="dxa" w:w="5112"/>
          </w:tcPr>
          <w:p>
            <w:pPr>
              <w:spacing w:after="40"/>
            </w:pPr>
            <w:r>
              <w:rPr>
                <w:sz w:val="18"/>
              </w:rPr>
            </w:r>
            <w:r>
              <w:rPr>
                <w:b w:val="0"/>
                <w:i w:val="0"/>
                <w:sz w:val="18"/>
              </w:rPr>
              <w:t xml:space="preserve">Persistent </w:t>
            </w:r>
            <w:r>
              <w:rPr>
                <w:b/>
                <w:i w:val="0"/>
                <w:sz w:val="18"/>
              </w:rPr>
              <w:t>non-blanchable deep red / purple discoloration</w:t>
            </w:r>
            <w:r>
              <w:rPr>
                <w:b w:val="0"/>
                <w:i w:val="0"/>
                <w:sz w:val="18"/>
              </w:rPr>
              <w:t xml:space="preserve">. Skin can be </w:t>
            </w:r>
            <w:r>
              <w:rPr>
                <w:b/>
                <w:i w:val="0"/>
                <w:sz w:val="18"/>
              </w:rPr>
              <w:t>intact or non-intact</w:t>
            </w:r>
            <w:r>
              <w:rPr>
                <w:b w:val="0"/>
                <w:i w:val="0"/>
                <w:sz w:val="18"/>
              </w:rPr>
              <w:t>.</w:t>
            </w:r>
          </w:p>
        </w:tc>
      </w:tr>
    </w:tbl>
    <w:p>
      <w:pPr>
        <w:spacing w:after="80"/>
      </w:pPr>
    </w:p>
    <w:p>
      <w:pPr>
        <w:jc w:val="center"/>
      </w:pPr>
      <w:r>
        <w:drawing>
          <wp:inline xmlns:a="http://schemas.openxmlformats.org/drawingml/2006/main" xmlns:pic="http://schemas.openxmlformats.org/drawingml/2006/picture">
            <wp:extent cx="3840480" cy="2875253"/>
            <wp:docPr id="1" name="Picture 1"/>
            <wp:cNvGraphicFramePr>
              <a:graphicFrameLocks noChangeAspect="1"/>
            </wp:cNvGraphicFramePr>
            <a:graphic>
              <a:graphicData uri="http://schemas.openxmlformats.org/drawingml/2006/picture">
                <pic:pic>
                  <pic:nvPicPr>
                    <pic:cNvPr id="0" name="Clinical_Medicine_and_Surgery_I_Exam_1_cms-derm-staging-images_npiap-stages-1-3.jpg"/>
                    <pic:cNvPicPr/>
                  </pic:nvPicPr>
                  <pic:blipFill>
                    <a:blip r:embed="rId9"/>
                    <a:stretch>
                      <a:fillRect/>
                    </a:stretch>
                  </pic:blipFill>
                  <pic:spPr>
                    <a:xfrm>
                      <a:off x="0" y="0"/>
                      <a:ext cx="3840480" cy="2875253"/>
                    </a:xfrm>
                    <a:prstGeom prst="rect"/>
                  </pic:spPr>
                </pic:pic>
              </a:graphicData>
            </a:graphic>
          </wp:inline>
        </w:drawing>
      </w:r>
    </w:p>
    <w:p>
      <w:pPr>
        <w:spacing w:after="160"/>
        <w:jc w:val="center"/>
      </w:pPr>
      <w:r>
        <w:rPr>
          <w:sz w:val="15"/>
        </w:rPr>
        <w:t>Stages 1–3, each shown in lightly and darkly pigmented skin. Slide 33 — this table is the entire slide, as an image.</w:t>
      </w:r>
    </w:p>
    <w:p>
      <w:pPr>
        <w:jc w:val="center"/>
      </w:pPr>
      <w:r>
        <w:drawing>
          <wp:inline xmlns:a="http://schemas.openxmlformats.org/drawingml/2006/main" xmlns:pic="http://schemas.openxmlformats.org/drawingml/2006/picture">
            <wp:extent cx="3840480" cy="2932637"/>
            <wp:docPr id="2" name="Picture 2"/>
            <wp:cNvGraphicFramePr>
              <a:graphicFrameLocks noChangeAspect="1"/>
            </wp:cNvGraphicFramePr>
            <a:graphic>
              <a:graphicData uri="http://schemas.openxmlformats.org/drawingml/2006/picture">
                <pic:pic>
                  <pic:nvPicPr>
                    <pic:cNvPr id="0" name="Clinical_Medicine_and_Surgery_I_Exam_1_cms-derm-staging-images_npiap-stage4-unstageable-dti.jpg"/>
                    <pic:cNvPicPr/>
                  </pic:nvPicPr>
                  <pic:blipFill>
                    <a:blip r:embed="rId10"/>
                    <a:stretch>
                      <a:fillRect/>
                    </a:stretch>
                  </pic:blipFill>
                  <pic:spPr>
                    <a:xfrm>
                      <a:off x="0" y="0"/>
                      <a:ext cx="3840480" cy="2932637"/>
                    </a:xfrm>
                    <a:prstGeom prst="rect"/>
                  </pic:spPr>
                </pic:pic>
              </a:graphicData>
            </a:graphic>
          </wp:inline>
        </w:drawing>
      </w:r>
    </w:p>
    <w:p>
      <w:pPr>
        <w:spacing w:after="160"/>
        <w:jc w:val="center"/>
      </w:pPr>
      <w:r>
        <w:rPr>
          <w:sz w:val="15"/>
        </w:rPr>
        <w:t>Stage 4, Unstageable and Deep Tissue Injury. Slide 34, likewise an image with no extractable text.</w:t>
      </w:r>
    </w:p>
    <w:p>
      <w:pPr>
        <w:pStyle w:val="Heading1"/>
        <w:spacing w:before="280" w:after="100"/>
      </w:pPr>
      <w:r>
        <w:rPr>
          <w:rFonts w:ascii="Georgia" w:hAnsi="Georgia"/>
          <w:color w:val="17494B"/>
        </w:rPr>
        <w:t>Sunburn — degree</w:t>
      </w:r>
    </w:p>
    <w:p>
      <w:pPr>
        <w:spacing w:after="120"/>
      </w:pPr>
      <w:r>
        <w:rPr>
          <w:b w:val="0"/>
          <w:i w:val="0"/>
        </w:rPr>
        <w:t>Dermatology II · slides 91–95</w:t>
      </w:r>
    </w:p>
    <w:p>
      <w:pPr>
        <w:spacing w:after="120"/>
      </w:pPr>
      <w:r>
        <w:rPr>
          <w:b w:val="0"/>
          <w:i w:val="0"/>
        </w:rPr>
        <w:t xml:space="preserve">Only first and second degree are taught for sunburn. </w:t>
      </w:r>
      <w:r>
        <w:rPr>
          <w:b/>
          <w:i w:val="0"/>
        </w:rPr>
        <w:t>Blistering is the line between them.</w:t>
      </w:r>
      <w:r>
        <w:rPr>
          <w:b w:val="0"/>
          <w:i w:val="0"/>
        </w:rPr>
        <w:t xml:space="preserve"> Systemic features are graded separately rather than as a third degree.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First degree</w:t>
            </w:r>
          </w:p>
        </w:tc>
        <w:tc>
          <w:tcPr>
            <w:tcW w:type="dxa" w:w="5112"/>
          </w:tcPr>
          <w:p>
            <w:pPr>
              <w:spacing w:after="40"/>
            </w:pPr>
            <w:r>
              <w:rPr>
                <w:sz w:val="18"/>
              </w:rPr>
            </w:r>
            <w:r>
              <w:rPr>
                <w:b w:val="0"/>
                <w:i w:val="0"/>
                <w:sz w:val="18"/>
              </w:rPr>
              <w:t xml:space="preserve">Erythema, warmth, tenderness. </w:t>
            </w:r>
            <w:r>
              <w:rPr>
                <w:b/>
                <w:i w:val="0"/>
                <w:sz w:val="18"/>
              </w:rPr>
              <w:t>Confined to the epidermis. No blistering.</w:t>
            </w:r>
            <w:r>
              <w:rPr>
                <w:b w:val="0"/>
                <w:i w:val="0"/>
                <w:sz w:val="18"/>
              </w:rPr>
              <w:t xml:space="preserve"> Resolves in </w:t>
            </w:r>
            <w:r>
              <w:rPr>
                <w:b/>
                <w:i w:val="0"/>
                <w:sz w:val="18"/>
              </w:rPr>
              <w:t>3–5 days</w:t>
            </w:r>
            <w:r>
              <w:rPr>
                <w:b w:val="0"/>
                <w:i w:val="0"/>
                <w:sz w:val="18"/>
              </w:rPr>
              <w:t xml:space="preserve"> with desquamation.</w:t>
            </w:r>
          </w:p>
        </w:tc>
      </w:tr>
      <w:tr>
        <w:tc>
          <w:tcPr>
            <w:tcW w:type="dxa" w:w="5112"/>
          </w:tcPr>
          <w:p>
            <w:pPr>
              <w:spacing w:after="40"/>
            </w:pPr>
            <w:r>
              <w:rPr>
                <w:sz w:val="18"/>
              </w:rPr>
            </w:r>
            <w:r>
              <w:rPr>
                <w:b w:val="0"/>
                <w:i w:val="0"/>
                <w:sz w:val="18"/>
              </w:rPr>
              <w:t>Second degree</w:t>
            </w:r>
          </w:p>
        </w:tc>
        <w:tc>
          <w:tcPr>
            <w:tcW w:type="dxa" w:w="5112"/>
          </w:tcPr>
          <w:p>
            <w:pPr>
              <w:spacing w:after="40"/>
            </w:pPr>
            <w:r>
              <w:rPr>
                <w:sz w:val="18"/>
              </w:rPr>
            </w:r>
            <w:r>
              <w:rPr>
                <w:b/>
                <w:i w:val="0"/>
                <w:sz w:val="18"/>
              </w:rPr>
              <w:t>Blistering</w:t>
            </w:r>
            <w:r>
              <w:rPr>
                <w:b w:val="0"/>
                <w:i w:val="0"/>
                <w:sz w:val="18"/>
              </w:rPr>
              <w:t xml:space="preserve">, intense pain, edema. </w:t>
            </w:r>
            <w:r>
              <w:rPr>
                <w:b/>
                <w:i w:val="0"/>
                <w:sz w:val="18"/>
              </w:rPr>
              <w:t>Partial dermal</w:t>
            </w:r>
            <w:r>
              <w:rPr>
                <w:b w:val="0"/>
                <w:i w:val="0"/>
                <w:sz w:val="18"/>
              </w:rPr>
              <w:t xml:space="preserve"> involvement. Takes </w:t>
            </w:r>
            <w:r>
              <w:rPr>
                <w:b/>
                <w:i w:val="0"/>
                <w:sz w:val="18"/>
              </w:rPr>
              <w:t>1–2 weeks</w:t>
            </w:r>
            <w:r>
              <w:rPr>
                <w:b w:val="0"/>
                <w:i w:val="0"/>
                <w:sz w:val="18"/>
              </w:rPr>
              <w:t>; risk of secondary infection.</w:t>
            </w:r>
          </w:p>
        </w:tc>
      </w:tr>
      <w:tr>
        <w:tc>
          <w:tcPr>
            <w:tcW w:type="dxa" w:w="5112"/>
          </w:tcPr>
          <w:p>
            <w:pPr>
              <w:spacing w:after="40"/>
            </w:pPr>
            <w:r>
              <w:rPr>
                <w:sz w:val="18"/>
              </w:rPr>
            </w:r>
            <w:r>
              <w:rPr>
                <w:b w:val="0"/>
                <w:i w:val="0"/>
                <w:sz w:val="18"/>
              </w:rPr>
              <w:t>Systemic (“sun poisoning”)</w:t>
            </w:r>
          </w:p>
        </w:tc>
        <w:tc>
          <w:tcPr>
            <w:tcW w:type="dxa" w:w="5112"/>
          </w:tcPr>
          <w:p>
            <w:pPr>
              <w:spacing w:after="40"/>
            </w:pPr>
            <w:r>
              <w:rPr>
                <w:sz w:val="18"/>
              </w:rPr>
            </w:r>
            <w:r>
              <w:rPr>
                <w:b w:val="0"/>
                <w:i w:val="0"/>
                <w:sz w:val="18"/>
              </w:rPr>
              <w:t>Fever, chills, nausea and vomiting, dehydration, headache, tachycardia — particularly with large body surface area involvement.</w:t>
            </w:r>
          </w:p>
        </w:tc>
      </w:tr>
    </w:tbl>
    <w:p>
      <w:pPr>
        <w:spacing w:after="80"/>
      </w:pPr>
    </w:p>
    <w:p>
      <w:pPr>
        <w:jc w:val="center"/>
      </w:pPr>
      <w:r>
        <w:drawing>
          <wp:inline xmlns:a="http://schemas.openxmlformats.org/drawingml/2006/main" xmlns:pic="http://schemas.openxmlformats.org/drawingml/2006/picture">
            <wp:extent cx="3840480" cy="5611091"/>
            <wp:docPr id="3" name="Picture 3"/>
            <wp:cNvGraphicFramePr>
              <a:graphicFrameLocks noChangeAspect="1"/>
            </wp:cNvGraphicFramePr>
            <a:graphic>
              <a:graphicData uri="http://schemas.openxmlformats.org/drawingml/2006/picture">
                <pic:pic>
                  <pic:nvPicPr>
                    <pic:cNvPr id="0" name="Clinical_Medicine_and_Surgery_I_Exam_1_cms-derm-staging-images_sunburn-acute-and-48h.jpg"/>
                    <pic:cNvPicPr/>
                  </pic:nvPicPr>
                  <pic:blipFill>
                    <a:blip r:embed="rId11"/>
                    <a:stretch>
                      <a:fillRect/>
                    </a:stretch>
                  </pic:blipFill>
                  <pic:spPr>
                    <a:xfrm>
                      <a:off x="0" y="0"/>
                      <a:ext cx="3840480" cy="5611091"/>
                    </a:xfrm>
                    <a:prstGeom prst="rect"/>
                  </pic:spPr>
                </pic:pic>
              </a:graphicData>
            </a:graphic>
          </wp:inline>
        </w:drawing>
      </w:r>
    </w:p>
    <w:p>
      <w:pPr>
        <w:spacing w:after="160"/>
        <w:jc w:val="center"/>
      </w:pPr>
      <w:r>
        <w:rPr>
          <w:sz w:val="15"/>
        </w:rPr>
        <w:t>The deck's own before-and-after: A acute sunburn, sharply demarcated at the clothing line; B the same back 48 hours later, now blistered and desquamating. Slide 92.</w:t>
      </w:r>
    </w:p>
    <w:p>
      <w:pPr>
        <w:pStyle w:val="Heading1"/>
        <w:spacing w:before="280" w:after="100"/>
      </w:pPr>
      <w:r>
        <w:rPr>
          <w:rFonts w:ascii="Georgia" w:hAnsi="Georgia"/>
          <w:color w:val="17494B"/>
        </w:rPr>
        <w:t>Stevens-Johnson syndrome → toxic epidermal necrolysis</w:t>
      </w:r>
    </w:p>
    <w:p>
      <w:pPr>
        <w:spacing w:after="120"/>
      </w:pPr>
      <w:r>
        <w:rPr>
          <w:b w:val="0"/>
          <w:i w:val="0"/>
        </w:rPr>
        <w:t>Dermatology II · slides 82, 88, 126</w:t>
      </w:r>
    </w:p>
    <w:p>
      <w:pPr>
        <w:spacing w:after="120"/>
      </w:pPr>
      <w:r>
        <w:rPr>
          <w:b w:val="0"/>
          <w:i w:val="0"/>
        </w:rPr>
        <w:t xml:space="preserve">One disease spectrum split by </w:t>
      </w:r>
      <w:r>
        <w:rPr>
          <w:b/>
          <w:i w:val="0"/>
        </w:rPr>
        <w:t>body surface area of epidermal detachment</w:t>
      </w:r>
      <w:r>
        <w:rPr>
          <w:b w:val="0"/>
          <w:i w:val="0"/>
        </w:rPr>
        <w:t>. This percentage is the whole distinction — mucosal involvement, drug trigger and prodrome occur in both and separate nothing.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Stevens-Johnson syndrome</w:t>
            </w:r>
          </w:p>
        </w:tc>
        <w:tc>
          <w:tcPr>
            <w:tcW w:type="dxa" w:w="5112"/>
          </w:tcPr>
          <w:p>
            <w:pPr>
              <w:spacing w:after="40"/>
            </w:pPr>
            <w:r>
              <w:rPr>
                <w:sz w:val="18"/>
              </w:rPr>
            </w:r>
            <w:r>
              <w:rPr>
                <w:b/>
                <w:i w:val="0"/>
                <w:sz w:val="18"/>
              </w:rPr>
              <w:t>Less than 10%</w:t>
            </w:r>
            <w:r>
              <w:rPr>
                <w:b w:val="0"/>
                <w:i w:val="0"/>
                <w:sz w:val="18"/>
              </w:rPr>
              <w:t xml:space="preserve"> body surface area detachment, with mucosal erosions. Hospitalize; stop the drug.</w:t>
            </w:r>
          </w:p>
        </w:tc>
      </w:tr>
      <w:tr>
        <w:tc>
          <w:tcPr>
            <w:tcW w:type="dxa" w:w="5112"/>
          </w:tcPr>
          <w:p>
            <w:pPr>
              <w:spacing w:after="40"/>
            </w:pPr>
            <w:r>
              <w:rPr>
                <w:sz w:val="18"/>
              </w:rPr>
            </w:r>
            <w:r>
              <w:rPr>
                <w:b w:val="0"/>
                <w:i w:val="0"/>
                <w:sz w:val="18"/>
              </w:rPr>
              <w:t>Overlap</w:t>
            </w:r>
          </w:p>
        </w:tc>
        <w:tc>
          <w:tcPr>
            <w:tcW w:type="dxa" w:w="5112"/>
          </w:tcPr>
          <w:p>
            <w:pPr>
              <w:spacing w:after="40"/>
            </w:pPr>
            <w:r>
              <w:rPr>
                <w:sz w:val="18"/>
              </w:rPr>
            </w:r>
            <w:r>
              <w:rPr>
                <w:b/>
                <w:i w:val="0"/>
                <w:sz w:val="18"/>
              </w:rPr>
              <w:t>10–30%</w:t>
            </w:r>
            <w:r>
              <w:rPr>
                <w:b w:val="0"/>
                <w:i w:val="0"/>
                <w:sz w:val="18"/>
              </w:rPr>
              <w:t xml:space="preserve"> — the decks define SJS and TEN by their thresholds and treat the middle as the overlap band.</w:t>
            </w:r>
          </w:p>
        </w:tc>
      </w:tr>
      <w:tr>
        <w:tc>
          <w:tcPr>
            <w:tcW w:type="dxa" w:w="5112"/>
          </w:tcPr>
          <w:p>
            <w:pPr>
              <w:spacing w:after="40"/>
            </w:pPr>
            <w:r>
              <w:rPr>
                <w:sz w:val="18"/>
              </w:rPr>
            </w:r>
            <w:r>
              <w:rPr>
                <w:b w:val="0"/>
                <w:i w:val="0"/>
                <w:sz w:val="18"/>
              </w:rPr>
              <w:t>Toxic epidermal necrolysis</w:t>
            </w:r>
          </w:p>
        </w:tc>
        <w:tc>
          <w:tcPr>
            <w:tcW w:type="dxa" w:w="5112"/>
          </w:tcPr>
          <w:p>
            <w:pPr>
              <w:spacing w:after="40"/>
            </w:pPr>
            <w:r>
              <w:rPr>
                <w:sz w:val="18"/>
              </w:rPr>
            </w:r>
            <w:r>
              <w:rPr>
                <w:b/>
                <w:i w:val="0"/>
                <w:sz w:val="18"/>
              </w:rPr>
              <w:t>More than 30%</w:t>
            </w:r>
            <w:r>
              <w:rPr>
                <w:b w:val="0"/>
                <w:i w:val="0"/>
                <w:sz w:val="18"/>
              </w:rPr>
              <w:t xml:space="preserve"> body surface area. Positive Nikolsky sign, “wet parchment” appearance, severe mucosal erosion. </w:t>
            </w:r>
            <w:r>
              <w:rPr>
                <w:b/>
                <w:i w:val="0"/>
                <w:sz w:val="18"/>
              </w:rPr>
              <w:t>Mortality up to 30–35%.</w:t>
            </w:r>
            <w:r>
              <w:rPr>
                <w:b w:val="0"/>
                <w:i w:val="0"/>
                <w:sz w:val="18"/>
              </w:rPr>
              <w:t xml:space="preserve"> Burn unit or intensive care is mandatory.</w:t>
            </w:r>
          </w:p>
        </w:tc>
      </w:tr>
    </w:tbl>
    <w:p>
      <w:pPr>
        <w:spacing w:after="80"/>
      </w:pPr>
    </w:p>
    <w:p>
      <w:pPr>
        <w:jc w:val="center"/>
      </w:pPr>
      <w:r>
        <w:drawing>
          <wp:inline xmlns:a="http://schemas.openxmlformats.org/drawingml/2006/main" xmlns:pic="http://schemas.openxmlformats.org/drawingml/2006/picture">
            <wp:extent cx="3840480" cy="5766486"/>
            <wp:docPr id="4" name="Picture 4"/>
            <wp:cNvGraphicFramePr>
              <a:graphicFrameLocks noChangeAspect="1"/>
            </wp:cNvGraphicFramePr>
            <a:graphic>
              <a:graphicData uri="http://schemas.openxmlformats.org/drawingml/2006/picture">
                <pic:pic>
                  <pic:nvPicPr>
                    <pic:cNvPr id="0" name="Clinical_Medicine_and_Surgery_I_Exam_1_cms-derm-staging-images_sjs-mucosal-erosions.jpg"/>
                    <pic:cNvPicPr/>
                  </pic:nvPicPr>
                  <pic:blipFill>
                    <a:blip r:embed="rId12"/>
                    <a:stretch>
                      <a:fillRect/>
                    </a:stretch>
                  </pic:blipFill>
                  <pic:spPr>
                    <a:xfrm>
                      <a:off x="0" y="0"/>
                      <a:ext cx="3840480" cy="5766486"/>
                    </a:xfrm>
                    <a:prstGeom prst="rect"/>
                  </pic:spPr>
                </pic:pic>
              </a:graphicData>
            </a:graphic>
          </wp:inline>
        </w:drawing>
      </w:r>
    </w:p>
    <w:p>
      <w:pPr>
        <w:spacing w:after="160"/>
        <w:jc w:val="center"/>
      </w:pPr>
      <w:r>
        <w:rPr>
          <w:sz w:val="15"/>
        </w:rPr>
        <w:t>Mucosal erosions and hemorrhagic crusting of the lips — present across the spectrum, so it does not tell you which end you are at. Slide 80.</w:t>
      </w:r>
    </w:p>
    <w:p>
      <w:pPr>
        <w:jc w:val="center"/>
      </w:pPr>
      <w:r>
        <w:drawing>
          <wp:inline xmlns:a="http://schemas.openxmlformats.org/drawingml/2006/main" xmlns:pic="http://schemas.openxmlformats.org/drawingml/2006/picture">
            <wp:extent cx="3840480" cy="2893410"/>
            <wp:docPr id="5" name="Picture 5"/>
            <wp:cNvGraphicFramePr>
              <a:graphicFrameLocks noChangeAspect="1"/>
            </wp:cNvGraphicFramePr>
            <a:graphic>
              <a:graphicData uri="http://schemas.openxmlformats.org/drawingml/2006/picture">
                <pic:pic>
                  <pic:nvPicPr>
                    <pic:cNvPr id="0" name="Clinical_Medicine_and_Surgery_I_Exam_1_cms-derm-staging-images_ten-epidermal-detachment.jpg"/>
                    <pic:cNvPicPr/>
                  </pic:nvPicPr>
                  <pic:blipFill>
                    <a:blip r:embed="rId13"/>
                    <a:stretch>
                      <a:fillRect/>
                    </a:stretch>
                  </pic:blipFill>
                  <pic:spPr>
                    <a:xfrm>
                      <a:off x="0" y="0"/>
                      <a:ext cx="3840480" cy="2893410"/>
                    </a:xfrm>
                    <a:prstGeom prst="rect"/>
                  </pic:spPr>
                </pic:pic>
              </a:graphicData>
            </a:graphic>
          </wp:inline>
        </w:drawing>
      </w:r>
    </w:p>
    <w:p>
      <w:pPr>
        <w:spacing w:after="160"/>
        <w:jc w:val="center"/>
      </w:pPr>
      <w:r>
        <w:rPr>
          <w:sz w:val="15"/>
        </w:rPr>
        <w:t>Sheets of detaching epidermis, the “wet parchment” appearance. Extent of this is what sets the diagnosis. Slide 86.</w:t>
      </w:r>
    </w:p>
    <w:p>
      <w:pPr>
        <w:pStyle w:val="Heading1"/>
        <w:spacing w:before="280" w:after="100"/>
      </w:pPr>
      <w:r>
        <w:rPr>
          <w:rFonts w:ascii="Georgia" w:hAnsi="Georgia"/>
          <w:color w:val="17494B"/>
        </w:rPr>
        <w:t>SCORTEN — severity of illness score for toxic epidermal necrolysis</w:t>
      </w:r>
    </w:p>
    <w:p>
      <w:pPr>
        <w:spacing w:after="120"/>
      </w:pPr>
      <w:r>
        <w:rPr>
          <w:b w:val="0"/>
          <w:i w:val="0"/>
        </w:rPr>
        <w:t>Dermatology II · slide 89</w:t>
      </w:r>
    </w:p>
    <w:p>
      <w:pPr>
        <w:spacing w:after="120"/>
      </w:pPr>
      <w:r>
        <w:rPr>
          <w:b w:val="0"/>
          <w:i w:val="0"/>
        </w:rPr>
        <w:t xml:space="preserve">Calculated </w:t>
      </w:r>
      <w:r>
        <w:rPr>
          <w:b/>
          <w:i w:val="0"/>
        </w:rPr>
        <w:t>within 24 hours of admission and repeated on day 3</w:t>
      </w:r>
      <w:r>
        <w:rPr>
          <w:b w:val="0"/>
          <w:i w:val="0"/>
        </w:rPr>
        <w:t xml:space="preserve">. </w:t>
      </w:r>
      <w:r>
        <w:rPr>
          <w:b/>
          <w:i w:val="0"/>
        </w:rPr>
        <w:t>Each variable scores one point.</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The seven variables</w:t>
            </w:r>
          </w:p>
        </w:tc>
        <w:tc>
          <w:tcPr>
            <w:tcW w:type="dxa" w:w="5112"/>
          </w:tcPr>
          <w:p>
            <w:pPr>
              <w:spacing w:after="40"/>
            </w:pPr>
            <w:r>
              <w:rPr>
                <w:sz w:val="18"/>
              </w:rPr>
            </w:r>
            <w:r>
              <w:rPr>
                <w:b w:val="0"/>
                <w:i w:val="0"/>
                <w:sz w:val="18"/>
              </w:rPr>
              <w:t xml:space="preserve">Age </w:t>
            </w:r>
            <w:r>
              <w:rPr>
                <w:b/>
                <w:i w:val="0"/>
                <w:sz w:val="18"/>
              </w:rPr>
              <w:t>&gt;40 years</w:t>
            </w:r>
            <w:r>
              <w:rPr>
                <w:b w:val="0"/>
                <w:i w:val="0"/>
                <w:sz w:val="18"/>
              </w:rPr>
              <w:t xml:space="preserve"> · malignancy </w:t>
            </w:r>
            <w:r>
              <w:rPr>
                <w:b/>
                <w:i w:val="0"/>
                <w:sz w:val="18"/>
              </w:rPr>
              <w:t>present</w:t>
            </w:r>
            <w:r>
              <w:rPr>
                <w:b w:val="0"/>
                <w:i w:val="0"/>
                <w:sz w:val="18"/>
              </w:rPr>
              <w:t xml:space="preserve"> · heart rate </w:t>
            </w:r>
            <w:r>
              <w:rPr>
                <w:b/>
                <w:i w:val="0"/>
                <w:sz w:val="18"/>
              </w:rPr>
              <w:t>&gt;120/min</w:t>
            </w:r>
            <w:r>
              <w:rPr>
                <w:b w:val="0"/>
                <w:i w:val="0"/>
                <w:sz w:val="18"/>
              </w:rPr>
              <w:t xml:space="preserve"> · initial body surface area detachment </w:t>
            </w:r>
            <w:r>
              <w:rPr>
                <w:b/>
                <w:i w:val="0"/>
                <w:sz w:val="18"/>
              </w:rPr>
              <w:t>&gt;10%</w:t>
            </w:r>
            <w:r>
              <w:rPr>
                <w:b w:val="0"/>
                <w:i w:val="0"/>
                <w:sz w:val="18"/>
              </w:rPr>
              <w:t xml:space="preserve"> · serum urea nitrogen </w:t>
            </w:r>
            <w:r>
              <w:rPr>
                <w:b/>
                <w:i w:val="0"/>
                <w:sz w:val="18"/>
              </w:rPr>
              <w:t>&gt;10 mmol/L (28 mg/dL)</w:t>
            </w:r>
            <w:r>
              <w:rPr>
                <w:b w:val="0"/>
                <w:i w:val="0"/>
                <w:sz w:val="18"/>
              </w:rPr>
              <w:t xml:space="preserve"> · serum bicarbonate </w:t>
            </w:r>
            <w:r>
              <w:rPr>
                <w:b/>
                <w:i w:val="0"/>
                <w:sz w:val="18"/>
              </w:rPr>
              <w:t>&lt;20 mEq/L</w:t>
            </w:r>
            <w:r>
              <w:rPr>
                <w:b w:val="0"/>
                <w:i w:val="0"/>
                <w:sz w:val="18"/>
              </w:rPr>
              <w:t xml:space="preserve"> · serum glucose </w:t>
            </w:r>
            <w:r>
              <w:rPr>
                <w:b/>
                <w:i w:val="0"/>
                <w:sz w:val="18"/>
              </w:rPr>
              <w:t>&gt;14 mmol/L (252 mg/dL)</w:t>
            </w:r>
          </w:p>
        </w:tc>
      </w:tr>
      <w:tr>
        <w:tc>
          <w:tcPr>
            <w:tcW w:type="dxa" w:w="5112"/>
          </w:tcPr>
          <w:p>
            <w:pPr>
              <w:spacing w:after="40"/>
            </w:pPr>
            <w:r>
              <w:rPr>
                <w:sz w:val="18"/>
              </w:rPr>
            </w:r>
            <w:r>
              <w:rPr>
                <w:b w:val="0"/>
                <w:i w:val="0"/>
                <w:sz w:val="18"/>
              </w:rPr>
              <w:t>Score 0–1</w:t>
            </w:r>
          </w:p>
        </w:tc>
        <w:tc>
          <w:tcPr>
            <w:tcW w:type="dxa" w:w="5112"/>
          </w:tcPr>
          <w:p>
            <w:pPr>
              <w:spacing w:after="40"/>
            </w:pPr>
            <w:r>
              <w:rPr>
                <w:sz w:val="18"/>
              </w:rPr>
            </w:r>
            <w:r>
              <w:rPr>
                <w:b w:val="0"/>
                <w:i w:val="0"/>
                <w:sz w:val="18"/>
              </w:rPr>
              <w:t xml:space="preserve">Predicted mortality </w:t>
            </w:r>
            <w:r>
              <w:rPr>
                <w:b/>
                <w:i w:val="0"/>
                <w:sz w:val="18"/>
              </w:rPr>
              <w:t>3.2%</w:t>
            </w:r>
          </w:p>
        </w:tc>
      </w:tr>
      <w:tr>
        <w:tc>
          <w:tcPr>
            <w:tcW w:type="dxa" w:w="5112"/>
          </w:tcPr>
          <w:p>
            <w:pPr>
              <w:spacing w:after="40"/>
            </w:pPr>
            <w:r>
              <w:rPr>
                <w:sz w:val="18"/>
              </w:rPr>
            </w:r>
            <w:r>
              <w:rPr>
                <w:b w:val="0"/>
                <w:i w:val="0"/>
                <w:sz w:val="18"/>
              </w:rPr>
              <w:t>Score 2</w:t>
            </w:r>
          </w:p>
        </w:tc>
        <w:tc>
          <w:tcPr>
            <w:tcW w:type="dxa" w:w="5112"/>
          </w:tcPr>
          <w:p>
            <w:pPr>
              <w:spacing w:after="40"/>
            </w:pPr>
            <w:r>
              <w:rPr>
                <w:sz w:val="18"/>
              </w:rPr>
            </w:r>
            <w:r>
              <w:rPr>
                <w:b w:val="0"/>
                <w:i w:val="0"/>
                <w:sz w:val="18"/>
              </w:rPr>
              <w:t xml:space="preserve">Predicted mortality </w:t>
            </w:r>
            <w:r>
              <w:rPr>
                <w:b/>
                <w:i w:val="0"/>
                <w:sz w:val="18"/>
              </w:rPr>
              <w:t>12%</w:t>
            </w:r>
          </w:p>
        </w:tc>
      </w:tr>
      <w:tr>
        <w:tc>
          <w:tcPr>
            <w:tcW w:type="dxa" w:w="5112"/>
          </w:tcPr>
          <w:p>
            <w:pPr>
              <w:spacing w:after="40"/>
            </w:pPr>
            <w:r>
              <w:rPr>
                <w:sz w:val="18"/>
              </w:rPr>
            </w:r>
            <w:r>
              <w:rPr>
                <w:b w:val="0"/>
                <w:i w:val="0"/>
                <w:sz w:val="18"/>
              </w:rPr>
              <w:t>Score 3</w:t>
            </w:r>
          </w:p>
        </w:tc>
        <w:tc>
          <w:tcPr>
            <w:tcW w:type="dxa" w:w="5112"/>
          </w:tcPr>
          <w:p>
            <w:pPr>
              <w:spacing w:after="40"/>
            </w:pPr>
            <w:r>
              <w:rPr>
                <w:sz w:val="18"/>
              </w:rPr>
            </w:r>
            <w:r>
              <w:rPr>
                <w:b w:val="0"/>
                <w:i w:val="0"/>
                <w:sz w:val="18"/>
              </w:rPr>
              <w:t xml:space="preserve">Predicted mortality </w:t>
            </w:r>
            <w:r>
              <w:rPr>
                <w:b/>
                <w:i w:val="0"/>
                <w:sz w:val="18"/>
              </w:rPr>
              <w:t>35%</w:t>
            </w:r>
          </w:p>
        </w:tc>
      </w:tr>
      <w:tr>
        <w:tc>
          <w:tcPr>
            <w:tcW w:type="dxa" w:w="5112"/>
          </w:tcPr>
          <w:p>
            <w:pPr>
              <w:spacing w:after="40"/>
            </w:pPr>
            <w:r>
              <w:rPr>
                <w:sz w:val="18"/>
              </w:rPr>
            </w:r>
            <w:r>
              <w:rPr>
                <w:b w:val="0"/>
                <w:i w:val="0"/>
                <w:sz w:val="18"/>
              </w:rPr>
              <w:t>Score 4</w:t>
            </w:r>
          </w:p>
        </w:tc>
        <w:tc>
          <w:tcPr>
            <w:tcW w:type="dxa" w:w="5112"/>
          </w:tcPr>
          <w:p>
            <w:pPr>
              <w:spacing w:after="40"/>
            </w:pPr>
            <w:r>
              <w:rPr>
                <w:sz w:val="18"/>
              </w:rPr>
            </w:r>
            <w:r>
              <w:rPr>
                <w:b w:val="0"/>
                <w:i w:val="0"/>
                <w:sz w:val="18"/>
              </w:rPr>
              <w:t xml:space="preserve">Predicted mortality </w:t>
            </w:r>
            <w:r>
              <w:rPr>
                <w:b/>
                <w:i w:val="0"/>
                <w:sz w:val="18"/>
              </w:rPr>
              <w:t>58%</w:t>
            </w:r>
          </w:p>
        </w:tc>
      </w:tr>
      <w:tr>
        <w:tc>
          <w:tcPr>
            <w:tcW w:type="dxa" w:w="5112"/>
          </w:tcPr>
          <w:p>
            <w:pPr>
              <w:spacing w:after="40"/>
            </w:pPr>
            <w:r>
              <w:rPr>
                <w:sz w:val="18"/>
              </w:rPr>
            </w:r>
            <w:r>
              <w:rPr>
                <w:b w:val="0"/>
                <w:i w:val="0"/>
                <w:sz w:val="18"/>
              </w:rPr>
              <w:t>Score 5 or more</w:t>
            </w:r>
          </w:p>
        </w:tc>
        <w:tc>
          <w:tcPr>
            <w:tcW w:type="dxa" w:w="5112"/>
          </w:tcPr>
          <w:p>
            <w:pPr>
              <w:spacing w:after="40"/>
            </w:pPr>
            <w:r>
              <w:rPr>
                <w:sz w:val="18"/>
              </w:rPr>
            </w:r>
            <w:r>
              <w:rPr>
                <w:b w:val="0"/>
                <w:i w:val="0"/>
                <w:sz w:val="18"/>
              </w:rPr>
              <w:t xml:space="preserve">Predicted mortality </w:t>
            </w:r>
            <w:r>
              <w:rPr>
                <w:b/>
                <w:i w:val="0"/>
                <w:sz w:val="18"/>
              </w:rPr>
              <w:t>90%</w:t>
            </w:r>
          </w:p>
        </w:tc>
      </w:tr>
    </w:tbl>
    <w:p>
      <w:pPr>
        <w:spacing w:after="80"/>
      </w:pPr>
    </w:p>
    <w:p>
      <w:pPr>
        <w:pStyle w:val="Heading1"/>
        <w:spacing w:before="280" w:after="100"/>
      </w:pPr>
      <w:r>
        <w:rPr>
          <w:rFonts w:ascii="Georgia" w:hAnsi="Georgia"/>
          <w:color w:val="17494B"/>
        </w:rPr>
        <w:t>Fitzpatrick skin type</w:t>
      </w:r>
    </w:p>
    <w:p>
      <w:pPr>
        <w:spacing w:after="120"/>
      </w:pPr>
      <w:r>
        <w:rPr>
          <w:b w:val="0"/>
          <w:i w:val="0"/>
        </w:rPr>
        <w:t>Dermatology II · slide 122</w:t>
      </w:r>
    </w:p>
    <w:p>
      <w:pPr>
        <w:spacing w:after="120"/>
      </w:pPr>
      <w:r>
        <w:rPr>
          <w:b w:val="0"/>
          <w:i w:val="0"/>
        </w:rPr>
        <w:t xml:space="preserve">Predicts </w:t>
      </w:r>
      <w:r>
        <w:rPr>
          <w:b/>
          <w:i w:val="0"/>
        </w:rPr>
        <w:t>baseline ultraviolet sensitivity</w:t>
      </w:r>
      <w:r>
        <w:rPr>
          <w:b w:val="0"/>
          <w:i w:val="0"/>
        </w:rPr>
        <w:t xml:space="preserve"> and guides photoprotection counseling. </w:t>
      </w:r>
      <w:r>
        <w:rPr>
          <w:b w:val="0"/>
          <w:i w:val="0"/>
        </w:rPr>
        <w:t xml:space="preserve">It grades how skin </w:t>
      </w:r>
      <w:r>
        <w:rPr>
          <w:b w:val="0"/>
          <w:i/>
        </w:rPr>
        <w:t>responds</w:t>
      </w:r>
      <w:r>
        <w:rPr>
          <w:b w:val="0"/>
          <w:i w:val="0"/>
        </w:rPr>
        <w:t xml:space="preserve"> to ultraviolet light — burning and tanning history — not what color it is.</w:t>
      </w:r>
      <w:r>
        <w:rPr>
          <w:b w:val="0"/>
          <w:i w:val="0"/>
        </w:rPr>
        <w:t xml:space="preserve"> The deck is emphatic that </w:t>
      </w:r>
      <w:r>
        <w:rPr>
          <w:b/>
          <w:i w:val="0"/>
        </w:rPr>
        <w:t>all six types are susceptible</w:t>
      </w:r>
      <w:r>
        <w:rPr>
          <w:b w:val="0"/>
          <w:i w:val="0"/>
        </w:rPr>
        <w:t xml:space="preserve"> to cumulative ultraviolet damage, photoaging and skin cancer — risk varies, it does not disappear. </w:t>
      </w:r>
      <w:r>
        <w:rPr>
          <w:b w:val="0"/>
          <w:i w:val="0"/>
        </w:rPr>
        <w:t>Types IV–VI are not immune; delayed diagnosis is common because the index of suspicion is lower, and melanoma in darker-skinned people is frequently diagnosed at an advanced stage.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Type I</w:t>
            </w:r>
          </w:p>
        </w:tc>
        <w:tc>
          <w:tcPr>
            <w:tcW w:type="dxa" w:w="5112"/>
          </w:tcPr>
          <w:p>
            <w:pPr>
              <w:spacing w:after="40"/>
            </w:pPr>
            <w:r>
              <w:rPr>
                <w:sz w:val="18"/>
              </w:rPr>
            </w:r>
            <w:r>
              <w:rPr>
                <w:b w:val="0"/>
                <w:i w:val="0"/>
                <w:sz w:val="18"/>
              </w:rPr>
              <w:t xml:space="preserve">Very fair, red or blonde hair, freckles, blue or green eyes. </w:t>
            </w:r>
            <w:r>
              <w:rPr>
                <w:b/>
                <w:i w:val="0"/>
                <w:sz w:val="18"/>
              </w:rPr>
              <w:t>Always burns, never tans.</w:t>
            </w:r>
            <w:r>
              <w:rPr>
                <w:b w:val="0"/>
                <w:i w:val="0"/>
                <w:sz w:val="18"/>
              </w:rPr>
              <w:t xml:space="preserve"> Skin cancer risk: </w:t>
            </w:r>
            <w:r>
              <w:rPr>
                <w:b/>
                <w:i w:val="0"/>
                <w:sz w:val="18"/>
              </w:rPr>
              <w:t>highest</w:t>
            </w:r>
            <w:r>
              <w:rPr>
                <w:b w:val="0"/>
                <w:i w:val="0"/>
                <w:sz w:val="18"/>
              </w:rPr>
              <w:t>.</w:t>
            </w:r>
          </w:p>
        </w:tc>
      </w:tr>
      <w:tr>
        <w:tc>
          <w:tcPr>
            <w:tcW w:type="dxa" w:w="5112"/>
          </w:tcPr>
          <w:p>
            <w:pPr>
              <w:spacing w:after="40"/>
            </w:pPr>
            <w:r>
              <w:rPr>
                <w:sz w:val="18"/>
              </w:rPr>
            </w:r>
            <w:r>
              <w:rPr>
                <w:b w:val="0"/>
                <w:i w:val="0"/>
                <w:sz w:val="18"/>
              </w:rPr>
              <w:t>Type II</w:t>
            </w:r>
          </w:p>
        </w:tc>
        <w:tc>
          <w:tcPr>
            <w:tcW w:type="dxa" w:w="5112"/>
          </w:tcPr>
          <w:p>
            <w:pPr>
              <w:spacing w:after="40"/>
            </w:pPr>
            <w:r>
              <w:rPr>
                <w:sz w:val="18"/>
              </w:rPr>
            </w:r>
            <w:r>
              <w:rPr>
                <w:b w:val="0"/>
                <w:i w:val="0"/>
                <w:sz w:val="18"/>
              </w:rPr>
              <w:t xml:space="preserve">Fair skin, light hair, blue or hazel eyes. </w:t>
            </w:r>
            <w:r>
              <w:rPr>
                <w:b/>
                <w:i w:val="0"/>
                <w:sz w:val="18"/>
              </w:rPr>
              <w:t>Usually burns, sometimes tans.</w:t>
            </w:r>
            <w:r>
              <w:rPr>
                <w:b w:val="0"/>
                <w:i w:val="0"/>
                <w:sz w:val="18"/>
              </w:rPr>
              <w:t xml:space="preserve"> Risk: </w:t>
            </w:r>
            <w:r>
              <w:rPr>
                <w:b/>
                <w:i w:val="0"/>
                <w:sz w:val="18"/>
              </w:rPr>
              <w:t>very high</w:t>
            </w:r>
            <w:r>
              <w:rPr>
                <w:b w:val="0"/>
                <w:i w:val="0"/>
                <w:sz w:val="18"/>
              </w:rPr>
              <w:t>.</w:t>
            </w:r>
          </w:p>
        </w:tc>
      </w:tr>
      <w:tr>
        <w:tc>
          <w:tcPr>
            <w:tcW w:type="dxa" w:w="5112"/>
          </w:tcPr>
          <w:p>
            <w:pPr>
              <w:spacing w:after="40"/>
            </w:pPr>
            <w:r>
              <w:rPr>
                <w:sz w:val="18"/>
              </w:rPr>
            </w:r>
            <w:r>
              <w:rPr>
                <w:b w:val="0"/>
                <w:i w:val="0"/>
                <w:sz w:val="18"/>
              </w:rPr>
              <w:t>Type III</w:t>
            </w:r>
          </w:p>
        </w:tc>
        <w:tc>
          <w:tcPr>
            <w:tcW w:type="dxa" w:w="5112"/>
          </w:tcPr>
          <w:p>
            <w:pPr>
              <w:spacing w:after="40"/>
            </w:pPr>
            <w:r>
              <w:rPr>
                <w:sz w:val="18"/>
              </w:rPr>
            </w:r>
            <w:r>
              <w:rPr>
                <w:b w:val="0"/>
                <w:i w:val="0"/>
                <w:sz w:val="18"/>
              </w:rPr>
              <w:t xml:space="preserve">Medium skin, brown hair, hazel or brown eyes. </w:t>
            </w:r>
            <w:r>
              <w:rPr>
                <w:b/>
                <w:i w:val="0"/>
                <w:sz w:val="18"/>
              </w:rPr>
              <w:t>Sometimes burns, always tans.</w:t>
            </w:r>
            <w:r>
              <w:rPr>
                <w:b w:val="0"/>
                <w:i w:val="0"/>
                <w:sz w:val="18"/>
              </w:rPr>
              <w:t xml:space="preserve"> Risk: </w:t>
            </w:r>
            <w:r>
              <w:rPr>
                <w:b/>
                <w:i w:val="0"/>
                <w:sz w:val="18"/>
              </w:rPr>
              <w:t>high</w:t>
            </w:r>
            <w:r>
              <w:rPr>
                <w:b w:val="0"/>
                <w:i w:val="0"/>
                <w:sz w:val="18"/>
              </w:rPr>
              <w:t>.</w:t>
            </w:r>
          </w:p>
        </w:tc>
      </w:tr>
      <w:tr>
        <w:tc>
          <w:tcPr>
            <w:tcW w:type="dxa" w:w="5112"/>
          </w:tcPr>
          <w:p>
            <w:pPr>
              <w:spacing w:after="40"/>
            </w:pPr>
            <w:r>
              <w:rPr>
                <w:sz w:val="18"/>
              </w:rPr>
            </w:r>
            <w:r>
              <w:rPr>
                <w:b w:val="0"/>
                <w:i w:val="0"/>
                <w:sz w:val="18"/>
              </w:rPr>
              <w:t>Type IV</w:t>
            </w:r>
          </w:p>
        </w:tc>
        <w:tc>
          <w:tcPr>
            <w:tcW w:type="dxa" w:w="5112"/>
          </w:tcPr>
          <w:p>
            <w:pPr>
              <w:spacing w:after="40"/>
            </w:pPr>
            <w:r>
              <w:rPr>
                <w:sz w:val="18"/>
              </w:rPr>
            </w:r>
            <w:r>
              <w:rPr>
                <w:b w:val="0"/>
                <w:i w:val="0"/>
                <w:sz w:val="18"/>
              </w:rPr>
              <w:t xml:space="preserve">Olive or light brown skin, dark hair and eyes. </w:t>
            </w:r>
            <w:r>
              <w:rPr>
                <w:b/>
                <w:i w:val="0"/>
                <w:sz w:val="18"/>
              </w:rPr>
              <w:t>Rarely burns, tans easily.</w:t>
            </w:r>
            <w:r>
              <w:rPr>
                <w:b w:val="0"/>
                <w:i w:val="0"/>
                <w:sz w:val="18"/>
              </w:rPr>
              <w:t xml:space="preserve"> Risk: </w:t>
            </w:r>
            <w:r>
              <w:rPr>
                <w:b/>
                <w:i w:val="0"/>
                <w:sz w:val="18"/>
              </w:rPr>
              <w:t>moderate</w:t>
            </w:r>
            <w:r>
              <w:rPr>
                <w:b w:val="0"/>
                <w:i w:val="0"/>
                <w:sz w:val="18"/>
              </w:rPr>
              <w:t>.</w:t>
            </w:r>
          </w:p>
        </w:tc>
      </w:tr>
      <w:tr>
        <w:tc>
          <w:tcPr>
            <w:tcW w:type="dxa" w:w="5112"/>
          </w:tcPr>
          <w:p>
            <w:pPr>
              <w:spacing w:after="40"/>
            </w:pPr>
            <w:r>
              <w:rPr>
                <w:sz w:val="18"/>
              </w:rPr>
            </w:r>
            <w:r>
              <w:rPr>
                <w:b w:val="0"/>
                <w:i w:val="0"/>
                <w:sz w:val="18"/>
              </w:rPr>
              <w:t>Type V</w:t>
            </w:r>
          </w:p>
        </w:tc>
        <w:tc>
          <w:tcPr>
            <w:tcW w:type="dxa" w:w="5112"/>
          </w:tcPr>
          <w:p>
            <w:pPr>
              <w:spacing w:after="40"/>
            </w:pPr>
            <w:r>
              <w:rPr>
                <w:sz w:val="18"/>
              </w:rPr>
            </w:r>
            <w:r>
              <w:rPr>
                <w:b w:val="0"/>
                <w:i w:val="0"/>
                <w:sz w:val="18"/>
              </w:rPr>
              <w:t xml:space="preserve">Brown skin, dark hair and eyes. </w:t>
            </w:r>
            <w:r>
              <w:rPr>
                <w:b/>
                <w:i w:val="0"/>
                <w:sz w:val="18"/>
              </w:rPr>
              <w:t>Minimally burns, tans deeply.</w:t>
            </w:r>
            <w:r>
              <w:rPr>
                <w:b w:val="0"/>
                <w:i w:val="0"/>
                <w:sz w:val="18"/>
              </w:rPr>
              <w:t xml:space="preserve"> Risk: </w:t>
            </w:r>
            <w:r>
              <w:rPr>
                <w:b/>
                <w:i w:val="0"/>
                <w:sz w:val="18"/>
              </w:rPr>
              <w:t>lower — not absent</w:t>
            </w:r>
            <w:r>
              <w:rPr>
                <w:b w:val="0"/>
                <w:i w:val="0"/>
                <w:sz w:val="18"/>
              </w:rPr>
              <w:t>.</w:t>
            </w:r>
          </w:p>
        </w:tc>
      </w:tr>
      <w:tr>
        <w:tc>
          <w:tcPr>
            <w:tcW w:type="dxa" w:w="5112"/>
          </w:tcPr>
          <w:p>
            <w:pPr>
              <w:spacing w:after="40"/>
            </w:pPr>
            <w:r>
              <w:rPr>
                <w:sz w:val="18"/>
              </w:rPr>
            </w:r>
            <w:r>
              <w:rPr>
                <w:b w:val="0"/>
                <w:i w:val="0"/>
                <w:sz w:val="18"/>
              </w:rPr>
              <w:t>Type VI</w:t>
            </w:r>
          </w:p>
        </w:tc>
        <w:tc>
          <w:tcPr>
            <w:tcW w:type="dxa" w:w="5112"/>
          </w:tcPr>
          <w:p>
            <w:pPr>
              <w:spacing w:after="40"/>
            </w:pPr>
            <w:r>
              <w:rPr>
                <w:sz w:val="18"/>
              </w:rPr>
            </w:r>
            <w:r>
              <w:rPr>
                <w:b w:val="0"/>
                <w:i w:val="0"/>
                <w:sz w:val="18"/>
              </w:rPr>
              <w:t xml:space="preserve">Deeply pigmented dark brown or black skin. </w:t>
            </w:r>
            <w:r>
              <w:rPr>
                <w:b/>
                <w:i w:val="0"/>
                <w:sz w:val="18"/>
              </w:rPr>
              <w:t>Never burns, deeply pigmented.</w:t>
            </w:r>
            <w:r>
              <w:rPr>
                <w:b w:val="0"/>
                <w:i w:val="0"/>
                <w:sz w:val="18"/>
              </w:rPr>
              <w:t xml:space="preserve"> Risk: </w:t>
            </w:r>
            <w:r>
              <w:rPr>
                <w:b/>
                <w:i w:val="0"/>
                <w:sz w:val="18"/>
              </w:rPr>
              <w:t>lowest — not absent</w:t>
            </w:r>
            <w:r>
              <w:rPr>
                <w:b w:val="0"/>
                <w:i w:val="0"/>
                <w:sz w:val="18"/>
              </w:rPr>
              <w:t>.</w:t>
            </w:r>
          </w:p>
        </w:tc>
      </w:tr>
    </w:tbl>
    <w:p>
      <w:pPr>
        <w:spacing w:after="80"/>
      </w:pPr>
    </w:p>
    <w:p>
      <w:pPr>
        <w:pStyle w:val="Heading1"/>
        <w:spacing w:before="280" w:after="100"/>
      </w:pPr>
      <w:r>
        <w:rPr>
          <w:rFonts w:ascii="Georgia" w:hAnsi="Georgia"/>
          <w:color w:val="17494B"/>
        </w:rPr>
        <w:t>Epidermolysis bullosa — type by level of cleavage</w:t>
      </w:r>
    </w:p>
    <w:p>
      <w:pPr>
        <w:spacing w:after="120"/>
      </w:pPr>
      <w:r>
        <w:rPr>
          <w:b w:val="0"/>
          <w:i w:val="0"/>
        </w:rPr>
        <w:t>Dermatology II · slide 29</w:t>
      </w:r>
    </w:p>
    <w:p>
      <w:pPr>
        <w:spacing w:after="120"/>
      </w:pPr>
      <w:r>
        <w:rPr>
          <w:b w:val="0"/>
          <w:i w:val="0"/>
        </w:rPr>
        <w:t xml:space="preserve">Four inherited types, separated by </w:t>
      </w:r>
      <w:r>
        <w:rPr>
          <w:b/>
          <w:i w:val="0"/>
        </w:rPr>
        <w:t>how deep in the skin the split occurs</w:t>
      </w:r>
      <w:r>
        <w:rPr>
          <w:b w:val="0"/>
          <w:i w:val="0"/>
        </w:rPr>
        <w:t xml:space="preserve"> — listed here from most superficial to deepest. Combined prevalence is </w:t>
      </w:r>
      <w:r>
        <w:rPr>
          <w:b/>
          <w:i w:val="0"/>
        </w:rPr>
        <w:t>8–19 per million live births</w:t>
      </w:r>
      <w:r>
        <w:rPr>
          <w:b w:val="0"/>
          <w:i w:val="0"/>
        </w:rPr>
        <w:t xml:space="preserve">. </w:t>
      </w:r>
      <w:r>
        <w:rPr>
          <w:b/>
          <w:i w:val="0"/>
        </w:rPr>
        <w:t>EB acquisita is the odd one out: autoimmune (anti-COL7A1 immunoglobulin G), not genetic.</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EB Simplex (EBS)</w:t>
            </w:r>
          </w:p>
        </w:tc>
        <w:tc>
          <w:tcPr>
            <w:tcW w:type="dxa" w:w="5112"/>
          </w:tcPr>
          <w:p>
            <w:pPr>
              <w:spacing w:after="40"/>
            </w:pPr>
            <w:r>
              <w:rPr>
                <w:sz w:val="18"/>
              </w:rPr>
            </w:r>
            <w:r>
              <w:rPr>
                <w:b/>
                <w:i w:val="0"/>
                <w:sz w:val="18"/>
              </w:rPr>
              <w:t>Intraepidermal</w:t>
            </w:r>
            <w:r>
              <w:rPr>
                <w:b w:val="0"/>
                <w:i w:val="0"/>
                <w:sz w:val="18"/>
              </w:rPr>
              <w:t xml:space="preserve"> cleavage. Keratin 5/14 mutations; autosomal dominant. </w:t>
            </w:r>
            <w:r>
              <w:rPr>
                <w:b/>
                <w:i w:val="0"/>
                <w:sz w:val="18"/>
              </w:rPr>
              <w:t>Most common, about 70% of cases.</w:t>
            </w:r>
          </w:p>
        </w:tc>
      </w:tr>
      <w:tr>
        <w:tc>
          <w:tcPr>
            <w:tcW w:type="dxa" w:w="5112"/>
          </w:tcPr>
          <w:p>
            <w:pPr>
              <w:spacing w:after="40"/>
            </w:pPr>
            <w:r>
              <w:rPr>
                <w:sz w:val="18"/>
              </w:rPr>
            </w:r>
            <w:r>
              <w:rPr>
                <w:b w:val="0"/>
                <w:i w:val="0"/>
                <w:sz w:val="18"/>
              </w:rPr>
              <w:t>Junctional EB (JEB)</w:t>
            </w:r>
          </w:p>
        </w:tc>
        <w:tc>
          <w:tcPr>
            <w:tcW w:type="dxa" w:w="5112"/>
          </w:tcPr>
          <w:p>
            <w:pPr>
              <w:spacing w:after="40"/>
            </w:pPr>
            <w:r>
              <w:rPr>
                <w:sz w:val="18"/>
              </w:rPr>
            </w:r>
            <w:r>
              <w:rPr>
                <w:b/>
                <w:i w:val="0"/>
                <w:sz w:val="18"/>
              </w:rPr>
              <w:t>Lamina lucida</w:t>
            </w:r>
            <w:r>
              <w:rPr>
                <w:b w:val="0"/>
                <w:i w:val="0"/>
                <w:sz w:val="18"/>
              </w:rPr>
              <w:t xml:space="preserve"> cleavage. Laminin-332 or α6β4 integrin mutations; autosomal recessive. </w:t>
            </w:r>
            <w:r>
              <w:rPr>
                <w:b/>
                <w:i w:val="0"/>
                <w:sz w:val="18"/>
              </w:rPr>
              <w:t>Highest mortality</w:t>
            </w:r>
            <w:r>
              <w:rPr>
                <w:b w:val="0"/>
                <w:i w:val="0"/>
                <w:sz w:val="18"/>
              </w:rPr>
              <w:t>, especially the Herlitz subtype.</w:t>
            </w:r>
          </w:p>
        </w:tc>
      </w:tr>
      <w:tr>
        <w:tc>
          <w:tcPr>
            <w:tcW w:type="dxa" w:w="5112"/>
          </w:tcPr>
          <w:p>
            <w:pPr>
              <w:spacing w:after="40"/>
            </w:pPr>
            <w:r>
              <w:rPr>
                <w:sz w:val="18"/>
              </w:rPr>
            </w:r>
            <w:r>
              <w:rPr>
                <w:b w:val="0"/>
                <w:i w:val="0"/>
                <w:sz w:val="18"/>
              </w:rPr>
              <w:t>Dystrophic EB (DEB)</w:t>
            </w:r>
          </w:p>
        </w:tc>
        <w:tc>
          <w:tcPr>
            <w:tcW w:type="dxa" w:w="5112"/>
          </w:tcPr>
          <w:p>
            <w:pPr>
              <w:spacing w:after="40"/>
            </w:pPr>
            <w:r>
              <w:rPr>
                <w:sz w:val="18"/>
              </w:rPr>
            </w:r>
            <w:r>
              <w:rPr>
                <w:b/>
                <w:i w:val="0"/>
                <w:sz w:val="18"/>
              </w:rPr>
              <w:t>Sub-lamina densa</w:t>
            </w:r>
            <w:r>
              <w:rPr>
                <w:b w:val="0"/>
                <w:i w:val="0"/>
                <w:sz w:val="18"/>
              </w:rPr>
              <w:t xml:space="preserve"> cleavage. COL7A1 (type VII collagen) mutations; autosomal dominant or recessive.</w:t>
            </w:r>
          </w:p>
        </w:tc>
      </w:tr>
      <w:tr>
        <w:tc>
          <w:tcPr>
            <w:tcW w:type="dxa" w:w="5112"/>
          </w:tcPr>
          <w:p>
            <w:pPr>
              <w:spacing w:after="40"/>
            </w:pPr>
            <w:r>
              <w:rPr>
                <w:sz w:val="18"/>
              </w:rPr>
            </w:r>
            <w:r>
              <w:rPr>
                <w:b w:val="0"/>
                <w:i w:val="0"/>
                <w:sz w:val="18"/>
              </w:rPr>
              <w:t>Kindler EB</w:t>
            </w:r>
          </w:p>
        </w:tc>
        <w:tc>
          <w:tcPr>
            <w:tcW w:type="dxa" w:w="5112"/>
          </w:tcPr>
          <w:p>
            <w:pPr>
              <w:spacing w:after="40"/>
            </w:pPr>
            <w:r>
              <w:rPr>
                <w:sz w:val="18"/>
              </w:rPr>
            </w:r>
            <w:r>
              <w:rPr>
                <w:b/>
                <w:i w:val="0"/>
                <w:sz w:val="18"/>
              </w:rPr>
              <w:t>Mixed cleavage planes.</w:t>
            </w:r>
            <w:r>
              <w:rPr>
                <w:b w:val="0"/>
                <w:i w:val="0"/>
                <w:sz w:val="18"/>
              </w:rPr>
              <w:t xml:space="preserve"> FERMT1 mutation; autosomal recessive.</w:t>
            </w:r>
          </w:p>
        </w:tc>
      </w:tr>
    </w:tbl>
    <w:p>
      <w:pPr>
        <w:spacing w:after="80"/>
      </w:pPr>
    </w:p>
    <w:p>
      <w:pPr>
        <w:pStyle w:val="Heading1"/>
        <w:spacing w:before="280" w:after="100"/>
      </w:pPr>
      <w:r>
        <w:rPr>
          <w:rFonts w:ascii="Georgia" w:hAnsi="Georgia"/>
          <w:color w:val="17494B"/>
        </w:rPr>
        <w:t>Lyme disease — stage</w:t>
      </w:r>
    </w:p>
    <w:p>
      <w:pPr>
        <w:spacing w:after="120"/>
      </w:pPr>
      <w:r>
        <w:rPr>
          <w:b w:val="0"/>
          <w:i w:val="0"/>
        </w:rPr>
        <w:t>Dermatological Infestations · slides 71–76</w:t>
      </w:r>
    </w:p>
    <w:p>
      <w:pPr>
        <w:spacing w:after="120"/>
      </w:pPr>
      <w:r>
        <w:rPr>
          <w:b w:val="0"/>
          <w:i w:val="0"/>
        </w:rPr>
        <w:t xml:space="preserve">Three stages defined by </w:t>
      </w:r>
      <w:r>
        <w:rPr>
          <w:b/>
          <w:i w:val="0"/>
        </w:rPr>
        <w:t>how long after the tick bite</w:t>
      </w:r>
      <w:r>
        <w:rPr>
          <w:b w:val="0"/>
          <w:i w:val="0"/>
        </w:rPr>
        <w:t>, not by severity.</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Stage 1 — early localized</w:t>
            </w:r>
          </w:p>
        </w:tc>
        <w:tc>
          <w:tcPr>
            <w:tcW w:type="dxa" w:w="5112"/>
          </w:tcPr>
          <w:p>
            <w:pPr>
              <w:spacing w:after="40"/>
            </w:pPr>
            <w:r>
              <w:rPr>
                <w:sz w:val="18"/>
              </w:rPr>
            </w:r>
            <w:r>
              <w:rPr>
                <w:b/>
                <w:i w:val="0"/>
                <w:sz w:val="18"/>
              </w:rPr>
              <w:t>Erythema migrans</w:t>
            </w:r>
            <w:r>
              <w:rPr>
                <w:b w:val="0"/>
                <w:i w:val="0"/>
                <w:sz w:val="18"/>
              </w:rPr>
              <w:t xml:space="preserve">: expanding erythematous round or oval lesion </w:t>
            </w:r>
            <w:r>
              <w:rPr>
                <w:b/>
                <w:i w:val="0"/>
                <w:sz w:val="18"/>
              </w:rPr>
              <w:t>&gt;5 cm</w:t>
            </w:r>
            <w:r>
              <w:rPr>
                <w:b w:val="0"/>
                <w:i w:val="0"/>
                <w:sz w:val="18"/>
              </w:rPr>
              <w:t xml:space="preserve"> with central clearing and often a darker punctate center at the bite. </w:t>
            </w:r>
            <w:r>
              <w:rPr>
                <w:b/>
                <w:i w:val="0"/>
                <w:sz w:val="18"/>
              </w:rPr>
              <w:t>About 1 week after the bite.</w:t>
            </w:r>
            <w:r>
              <w:rPr>
                <w:b w:val="0"/>
                <w:i w:val="0"/>
                <w:sz w:val="18"/>
              </w:rPr>
              <w:t xml:space="preserve"> Fever, myalgia, arthralgia, fatigue, lymphadenopathy.</w:t>
            </w:r>
          </w:p>
        </w:tc>
      </w:tr>
      <w:tr>
        <w:tc>
          <w:tcPr>
            <w:tcW w:type="dxa" w:w="5112"/>
          </w:tcPr>
          <w:p>
            <w:pPr>
              <w:spacing w:after="40"/>
            </w:pPr>
            <w:r>
              <w:rPr>
                <w:sz w:val="18"/>
              </w:rPr>
            </w:r>
            <w:r>
              <w:rPr>
                <w:b w:val="0"/>
                <w:i w:val="0"/>
                <w:sz w:val="18"/>
              </w:rPr>
              <w:t>Stage 2 — early disseminated</w:t>
            </w:r>
          </w:p>
        </w:tc>
        <w:tc>
          <w:tcPr>
            <w:tcW w:type="dxa" w:w="5112"/>
          </w:tcPr>
          <w:p>
            <w:pPr>
              <w:spacing w:after="40"/>
            </w:pPr>
            <w:r>
              <w:rPr>
                <w:sz w:val="18"/>
              </w:rPr>
            </w:r>
            <w:r>
              <w:rPr>
                <w:b/>
                <w:i w:val="0"/>
                <w:sz w:val="18"/>
              </w:rPr>
              <w:t>Days to weeks later.</w:t>
            </w:r>
            <w:r>
              <w:rPr>
                <w:b w:val="0"/>
                <w:i w:val="0"/>
                <w:sz w:val="18"/>
              </w:rPr>
              <w:t xml:space="preserve"> Skin, central nervous system, cardiac, musculoskeletal, eyes. Cranial nerve palsies, meningitis, radiculopathies; arthralgias and arthritis; headache, stiff neck, fatigue, malaise.</w:t>
            </w:r>
          </w:p>
        </w:tc>
      </w:tr>
      <w:tr>
        <w:tc>
          <w:tcPr>
            <w:tcW w:type="dxa" w:w="5112"/>
          </w:tcPr>
          <w:p>
            <w:pPr>
              <w:spacing w:after="40"/>
            </w:pPr>
            <w:r>
              <w:rPr>
                <w:sz w:val="18"/>
              </w:rPr>
            </w:r>
            <w:r>
              <w:rPr>
                <w:b w:val="0"/>
                <w:i w:val="0"/>
                <w:sz w:val="18"/>
              </w:rPr>
              <w:t>Stage 3 — late persistent</w:t>
            </w:r>
          </w:p>
        </w:tc>
        <w:tc>
          <w:tcPr>
            <w:tcW w:type="dxa" w:w="5112"/>
          </w:tcPr>
          <w:p>
            <w:pPr>
              <w:spacing w:after="40"/>
            </w:pPr>
            <w:r>
              <w:rPr>
                <w:sz w:val="18"/>
              </w:rPr>
            </w:r>
            <w:r>
              <w:rPr>
                <w:b/>
                <w:i w:val="0"/>
                <w:sz w:val="18"/>
              </w:rPr>
              <w:t>Months to years later.</w:t>
            </w:r>
            <w:r>
              <w:rPr>
                <w:b w:val="0"/>
                <w:i w:val="0"/>
                <w:sz w:val="18"/>
              </w:rPr>
              <w:t xml:space="preserve"> Classic manifestation is </w:t>
            </w:r>
            <w:r>
              <w:rPr>
                <w:b/>
                <w:i w:val="0"/>
                <w:sz w:val="18"/>
              </w:rPr>
              <w:t>monoarticular or oligoarticular arthritis of the knee or weight-bearing joints</w:t>
            </w:r>
            <w:r>
              <w:rPr>
                <w:b w:val="0"/>
                <w:i w:val="0"/>
                <w:sz w:val="18"/>
              </w:rPr>
              <w:t>. Subacute encephalopathy with memory loss, mood change, sleep disturbance. Acrodermatitis chronica atrophicans.</w:t>
            </w:r>
          </w:p>
        </w:tc>
      </w:tr>
    </w:tbl>
    <w:p>
      <w:pPr>
        <w:spacing w:after="80"/>
      </w:pPr>
    </w:p>
    <w:p>
      <w:pPr>
        <w:jc w:val="center"/>
      </w:pPr>
      <w:r>
        <w:drawing>
          <wp:inline xmlns:a="http://schemas.openxmlformats.org/drawingml/2006/main" xmlns:pic="http://schemas.openxmlformats.org/drawingml/2006/picture">
            <wp:extent cx="3840480" cy="2567635"/>
            <wp:docPr id="6" name="Picture 6"/>
            <wp:cNvGraphicFramePr>
              <a:graphicFrameLocks noChangeAspect="1"/>
            </wp:cNvGraphicFramePr>
            <a:graphic>
              <a:graphicData uri="http://schemas.openxmlformats.org/drawingml/2006/picture">
                <pic:pic>
                  <pic:nvPicPr>
                    <pic:cNvPr id="0" name="Clinical_Medicine_and_Surgery_I_Exam_1_cms-derm-staging-images_lyme-erythema-migrans.jpg"/>
                    <pic:cNvPicPr/>
                  </pic:nvPicPr>
                  <pic:blipFill>
                    <a:blip r:embed="rId14"/>
                    <a:stretch>
                      <a:fillRect/>
                    </a:stretch>
                  </pic:blipFill>
                  <pic:spPr>
                    <a:xfrm>
                      <a:off x="0" y="0"/>
                      <a:ext cx="3840480" cy="2567635"/>
                    </a:xfrm>
                    <a:prstGeom prst="rect"/>
                  </pic:spPr>
                </pic:pic>
              </a:graphicData>
            </a:graphic>
          </wp:inline>
        </w:drawing>
      </w:r>
    </w:p>
    <w:p>
      <w:pPr>
        <w:spacing w:after="160"/>
        <w:jc w:val="center"/>
      </w:pPr>
      <w:r>
        <w:rPr>
          <w:sz w:val="15"/>
        </w:rPr>
        <w:t>Stage 1: erythema migrans, with the expanding ring and central clearing. Slide 73.</w:t>
      </w:r>
    </w:p>
    <w:p>
      <w:pPr>
        <w:jc w:val="center"/>
      </w:pPr>
      <w:r>
        <w:drawing>
          <wp:inline xmlns:a="http://schemas.openxmlformats.org/drawingml/2006/main" xmlns:pic="http://schemas.openxmlformats.org/drawingml/2006/picture">
            <wp:extent cx="3840480" cy="7945821"/>
            <wp:docPr id="7" name="Picture 7"/>
            <wp:cNvGraphicFramePr>
              <a:graphicFrameLocks noChangeAspect="1"/>
            </wp:cNvGraphicFramePr>
            <a:graphic>
              <a:graphicData uri="http://schemas.openxmlformats.org/drawingml/2006/picture">
                <pic:pic>
                  <pic:nvPicPr>
                    <pic:cNvPr id="0" name="Clinical_Medicine_and_Surgery_I_Exam_1_cms-derm-staging-images_lyme-acrodermatitis-chronica-atrophicans.jpg"/>
                    <pic:cNvPicPr/>
                  </pic:nvPicPr>
                  <pic:blipFill>
                    <a:blip r:embed="rId15"/>
                    <a:stretch>
                      <a:fillRect/>
                    </a:stretch>
                  </pic:blipFill>
                  <pic:spPr>
                    <a:xfrm>
                      <a:off x="0" y="0"/>
                      <a:ext cx="3840480" cy="7945821"/>
                    </a:xfrm>
                    <a:prstGeom prst="rect"/>
                  </pic:spPr>
                </pic:pic>
              </a:graphicData>
            </a:graphic>
          </wp:inline>
        </w:drawing>
      </w:r>
    </w:p>
    <w:p>
      <w:pPr>
        <w:spacing w:after="160"/>
        <w:jc w:val="center"/>
      </w:pPr>
      <w:r>
        <w:rPr>
          <w:sz w:val="15"/>
        </w:rPr>
        <w:t>Stage 3: acrodermatitis chronica atrophicans — atrophic, translucent skin with veins showing through. Slide 76, the picture that follows the Stage 3 slide.</w:t>
      </w:r>
    </w:p>
    <w:p>
      <w:pPr>
        <w:pStyle w:val="Heading1"/>
        <w:spacing w:before="280" w:after="100"/>
      </w:pPr>
      <w:r>
        <w:rPr>
          <w:rFonts w:ascii="Georgia" w:hAnsi="Georgia"/>
          <w:color w:val="17494B"/>
        </w:rPr>
        <w:t>Herpes zoster — three clinical phases</w:t>
      </w:r>
    </w:p>
    <w:p>
      <w:pPr>
        <w:spacing w:after="120"/>
      </w:pPr>
      <w:r>
        <w:rPr>
          <w:b w:val="0"/>
          <w:i w:val="0"/>
        </w:rPr>
        <w:t>Fungal &amp; Viral Skin Infections · slides 97–99, 102</w:t>
      </w:r>
    </w:p>
    <w:p>
      <w:pPr>
        <w:spacing w:after="120"/>
      </w:pPr>
      <w:r>
        <w:rPr>
          <w:b w:val="0"/>
          <w:i w:val="0"/>
        </w:rPr>
        <w:t>The deck labels these explicitly as the three phases of the disease.</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Pre-eruptive (prodromal)</w:t>
            </w:r>
          </w:p>
        </w:tc>
        <w:tc>
          <w:tcPr>
            <w:tcW w:type="dxa" w:w="5112"/>
          </w:tcPr>
          <w:p>
            <w:pPr>
              <w:spacing w:after="40"/>
            </w:pPr>
            <w:r>
              <w:rPr>
                <w:sz w:val="18"/>
              </w:rPr>
            </w:r>
            <w:r>
              <w:rPr>
                <w:b/>
                <w:i w:val="0"/>
                <w:sz w:val="18"/>
              </w:rPr>
              <w:t>Dysesthesia or pain within the affected dermatome.</w:t>
            </w:r>
            <w:r>
              <w:rPr>
                <w:b w:val="0"/>
                <w:i w:val="0"/>
                <w:sz w:val="18"/>
              </w:rPr>
              <w:t xml:space="preserve"> Lesions appear by </w:t>
            </w:r>
            <w:r>
              <w:rPr>
                <w:b/>
                <w:i w:val="0"/>
                <w:sz w:val="18"/>
              </w:rPr>
              <w:t>48–72 hours</w:t>
            </w:r>
            <w:r>
              <w:rPr>
                <w:b w:val="0"/>
                <w:i w:val="0"/>
                <w:sz w:val="18"/>
              </w:rPr>
              <w:t>. May have malaise, myalgia, headache, photophobia, rarely fever.</w:t>
            </w:r>
          </w:p>
        </w:tc>
      </w:tr>
      <w:tr>
        <w:tc>
          <w:tcPr>
            <w:tcW w:type="dxa" w:w="5112"/>
          </w:tcPr>
          <w:p>
            <w:pPr>
              <w:spacing w:after="40"/>
            </w:pPr>
            <w:r>
              <w:rPr>
                <w:sz w:val="18"/>
              </w:rPr>
            </w:r>
            <w:r>
              <w:rPr>
                <w:b w:val="0"/>
                <w:i w:val="0"/>
                <w:sz w:val="18"/>
              </w:rPr>
              <w:t>Acute eruptive</w:t>
            </w:r>
          </w:p>
        </w:tc>
        <w:tc>
          <w:tcPr>
            <w:tcW w:type="dxa" w:w="5112"/>
          </w:tcPr>
          <w:p>
            <w:pPr>
              <w:spacing w:after="40"/>
            </w:pPr>
            <w:r>
              <w:rPr>
                <w:sz w:val="18"/>
              </w:rPr>
            </w:r>
            <w:r>
              <w:rPr>
                <w:b w:val="0"/>
                <w:i w:val="0"/>
                <w:sz w:val="18"/>
              </w:rPr>
              <w:t xml:space="preserve">Erythematous macules and papules → </w:t>
            </w:r>
            <w:r>
              <w:rPr>
                <w:b/>
                <w:i w:val="0"/>
                <w:sz w:val="18"/>
              </w:rPr>
              <w:t>grouped herpetiform vesicles on an erythematous base</w:t>
            </w:r>
            <w:r>
              <w:rPr>
                <w:b w:val="0"/>
                <w:i w:val="0"/>
                <w:sz w:val="18"/>
              </w:rPr>
              <w:t xml:space="preserve">. New lesions over </w:t>
            </w:r>
            <w:r>
              <w:rPr>
                <w:b/>
                <w:i w:val="0"/>
                <w:sz w:val="18"/>
              </w:rPr>
              <w:t>3–5 days</w:t>
            </w:r>
            <w:r>
              <w:rPr>
                <w:b w:val="0"/>
                <w:i w:val="0"/>
                <w:sz w:val="18"/>
              </w:rPr>
              <w:t xml:space="preserve">. Vesicles cloud, rupture, ulcerate, crust, dry. </w:t>
            </w:r>
            <w:r>
              <w:rPr>
                <w:b/>
                <w:i w:val="0"/>
                <w:sz w:val="18"/>
              </w:rPr>
              <w:t>Infectious until the lesions have dried.</w:t>
            </w:r>
            <w:r>
              <w:rPr>
                <w:b w:val="0"/>
                <w:i w:val="0"/>
                <w:sz w:val="18"/>
              </w:rPr>
              <w:t xml:space="preserve"> Resolves over </w:t>
            </w:r>
            <w:r>
              <w:rPr>
                <w:b/>
                <w:i w:val="0"/>
                <w:sz w:val="18"/>
              </w:rPr>
              <w:t>10–15 days</w:t>
            </w:r>
            <w:r>
              <w:rPr>
                <w:b w:val="0"/>
                <w:i w:val="0"/>
                <w:sz w:val="18"/>
              </w:rPr>
              <w:t>; complete healing may take a month.</w:t>
            </w:r>
          </w:p>
        </w:tc>
      </w:tr>
      <w:tr>
        <w:tc>
          <w:tcPr>
            <w:tcW w:type="dxa" w:w="5112"/>
          </w:tcPr>
          <w:p>
            <w:pPr>
              <w:spacing w:after="40"/>
            </w:pPr>
            <w:r>
              <w:rPr>
                <w:sz w:val="18"/>
              </w:rPr>
            </w:r>
            <w:r>
              <w:rPr>
                <w:b w:val="0"/>
                <w:i w:val="0"/>
                <w:sz w:val="18"/>
              </w:rPr>
              <w:t>Chronic — postherpetic neuralgia</w:t>
            </w:r>
          </w:p>
        </w:tc>
        <w:tc>
          <w:tcPr>
            <w:tcW w:type="dxa" w:w="5112"/>
          </w:tcPr>
          <w:p>
            <w:pPr>
              <w:spacing w:after="40"/>
            </w:pPr>
            <w:r>
              <w:rPr>
                <w:sz w:val="18"/>
              </w:rPr>
            </w:r>
            <w:r>
              <w:rPr>
                <w:b w:val="0"/>
                <w:i w:val="0"/>
                <w:sz w:val="18"/>
              </w:rPr>
              <w:t xml:space="preserve">Pain persisting </w:t>
            </w:r>
            <w:r>
              <w:rPr>
                <w:b/>
                <w:i w:val="0"/>
                <w:sz w:val="18"/>
              </w:rPr>
              <w:t>90 days or more after rash onset</w:t>
            </w:r>
            <w:r>
              <w:rPr>
                <w:b w:val="0"/>
                <w:i w:val="0"/>
                <w:sz w:val="18"/>
              </w:rPr>
              <w:t>. Burning, aching, stabbing, electric shock-like, or evoked by light touch (allodynia).</w:t>
            </w:r>
          </w:p>
        </w:tc>
      </w:tr>
    </w:tbl>
    <w:p>
      <w:pPr>
        <w:spacing w:after="80"/>
      </w:pPr>
    </w:p>
    <w:p>
      <w:pPr>
        <w:jc w:val="center"/>
      </w:pPr>
      <w:r>
        <w:drawing>
          <wp:inline xmlns:a="http://schemas.openxmlformats.org/drawingml/2006/main" xmlns:pic="http://schemas.openxmlformats.org/drawingml/2006/picture">
            <wp:extent cx="3840480" cy="3396081"/>
            <wp:docPr id="8" name="Picture 8"/>
            <wp:cNvGraphicFramePr>
              <a:graphicFrameLocks noChangeAspect="1"/>
            </wp:cNvGraphicFramePr>
            <a:graphic>
              <a:graphicData uri="http://schemas.openxmlformats.org/drawingml/2006/picture">
                <pic:pic>
                  <pic:nvPicPr>
                    <pic:cNvPr id="0" name="Clinical_Medicine_and_Surgery_I_Exam_1_cms-derm-staging-images_zoster-grouped-vesicles.jpg"/>
                    <pic:cNvPicPr/>
                  </pic:nvPicPr>
                  <pic:blipFill>
                    <a:blip r:embed="rId16"/>
                    <a:stretch>
                      <a:fillRect/>
                    </a:stretch>
                  </pic:blipFill>
                  <pic:spPr>
                    <a:xfrm>
                      <a:off x="0" y="0"/>
                      <a:ext cx="3840480" cy="3396081"/>
                    </a:xfrm>
                    <a:prstGeom prst="rect"/>
                  </pic:spPr>
                </pic:pic>
              </a:graphicData>
            </a:graphic>
          </wp:inline>
        </w:drawing>
      </w:r>
    </w:p>
    <w:p>
      <w:pPr>
        <w:spacing w:after="160"/>
        <w:jc w:val="center"/>
      </w:pPr>
      <w:r>
        <w:rPr>
          <w:sz w:val="15"/>
        </w:rPr>
        <w:t>The acute eruptive phase: grouped herpetiform vesicles on an erythematous base, the classic finding. Slide 101.</w:t>
      </w:r>
    </w:p>
    <w:p>
      <w:pPr>
        <w:pStyle w:val="Heading1"/>
        <w:spacing w:before="280" w:after="100"/>
      </w:pPr>
      <w:r>
        <w:rPr>
          <w:rFonts w:ascii="Georgia" w:hAnsi="Georgia"/>
          <w:color w:val="17494B"/>
        </w:rPr>
        <w:t>Varicella — lesions in several stages at once</w:t>
      </w:r>
    </w:p>
    <w:p>
      <w:pPr>
        <w:spacing w:after="120"/>
      </w:pPr>
      <w:r>
        <w:rPr>
          <w:b w:val="0"/>
          <w:i w:val="0"/>
        </w:rPr>
        <w:t>Fungal &amp; Viral Skin Infections · slides 84, 89</w:t>
      </w:r>
    </w:p>
    <w:p>
      <w:pPr>
        <w:spacing w:after="120"/>
      </w:pPr>
      <w:r>
        <w:rPr>
          <w:b w:val="0"/>
          <w:i w:val="0"/>
        </w:rPr>
        <w:t xml:space="preserve">Every individual lesion walks the same sequence, but the diagnostic point is that </w:t>
      </w:r>
      <w:r>
        <w:rPr>
          <w:b/>
          <w:i w:val="0"/>
        </w:rPr>
        <w:t>they do not walk it in step</w:t>
      </w:r>
      <w:r>
        <w:rPr>
          <w:b w:val="0"/>
          <w:i w:val="0"/>
        </w:rPr>
        <w:t>. Seeing several stages side by side at one moment is the finding.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The sequence</w:t>
            </w:r>
          </w:p>
        </w:tc>
        <w:tc>
          <w:tcPr>
            <w:tcW w:type="dxa" w:w="5112"/>
          </w:tcPr>
          <w:p>
            <w:pPr>
              <w:spacing w:after="40"/>
            </w:pPr>
            <w:r>
              <w:rPr>
                <w:sz w:val="18"/>
              </w:rPr>
            </w:r>
            <w:r>
              <w:rPr>
                <w:b/>
                <w:i w:val="0"/>
                <w:sz w:val="18"/>
              </w:rPr>
              <w:t>Macule → papule → vesicle → crust.</w:t>
            </w:r>
          </w:p>
        </w:tc>
      </w:tr>
      <w:tr>
        <w:tc>
          <w:tcPr>
            <w:tcW w:type="dxa" w:w="5112"/>
          </w:tcPr>
          <w:p>
            <w:pPr>
              <w:spacing w:after="40"/>
            </w:pPr>
            <w:r>
              <w:rPr>
                <w:sz w:val="18"/>
              </w:rPr>
            </w:r>
            <w:r>
              <w:rPr>
                <w:b w:val="0"/>
                <w:i w:val="0"/>
                <w:sz w:val="18"/>
              </w:rPr>
              <w:t>The hallmark</w:t>
            </w:r>
          </w:p>
        </w:tc>
        <w:tc>
          <w:tcPr>
            <w:tcW w:type="dxa" w:w="5112"/>
          </w:tcPr>
          <w:p>
            <w:pPr>
              <w:spacing w:after="40"/>
            </w:pPr>
            <w:r>
              <w:rPr>
                <w:sz w:val="18"/>
              </w:rPr>
            </w:r>
            <w:r>
              <w:rPr>
                <w:b/>
                <w:i w:val="0"/>
                <w:sz w:val="18"/>
              </w:rPr>
              <w:t>Several stages appear simultaneously</w:t>
            </w:r>
            <w:r>
              <w:rPr>
                <w:b w:val="0"/>
                <w:i w:val="0"/>
                <w:sz w:val="18"/>
              </w:rPr>
              <w:t xml:space="preserve"> in the same patient — a generalized pruritic eruption “in multiple stages of healing”.</w:t>
            </w:r>
          </w:p>
        </w:tc>
      </w:tr>
      <w:tr>
        <w:tc>
          <w:tcPr>
            <w:tcW w:type="dxa" w:w="5112"/>
          </w:tcPr>
          <w:p>
            <w:pPr>
              <w:spacing w:after="40"/>
            </w:pPr>
            <w:r>
              <w:rPr>
                <w:sz w:val="18"/>
              </w:rPr>
            </w:r>
            <w:r>
              <w:rPr>
                <w:b w:val="0"/>
                <w:i w:val="0"/>
                <w:sz w:val="18"/>
              </w:rPr>
              <w:t>Distribution</w:t>
            </w:r>
          </w:p>
        </w:tc>
        <w:tc>
          <w:tcPr>
            <w:tcW w:type="dxa" w:w="5112"/>
          </w:tcPr>
          <w:p>
            <w:pPr>
              <w:spacing w:after="40"/>
            </w:pPr>
            <w:r>
              <w:rPr>
                <w:sz w:val="18"/>
              </w:rPr>
            </w:r>
            <w:r>
              <w:rPr>
                <w:b w:val="0"/>
                <w:i w:val="0"/>
                <w:sz w:val="18"/>
              </w:rPr>
              <w:t xml:space="preserve">Concentrated on the </w:t>
            </w:r>
            <w:r>
              <w:rPr>
                <w:b/>
                <w:i w:val="0"/>
                <w:sz w:val="18"/>
              </w:rPr>
              <w:t>trunk, scalp and face</w:t>
            </w:r>
            <w:r>
              <w:rPr>
                <w:b w:val="0"/>
                <w:i w:val="0"/>
                <w:sz w:val="18"/>
              </w:rPr>
              <w:t>.</w:t>
            </w:r>
          </w:p>
        </w:tc>
      </w:tr>
      <w:tr>
        <w:tc>
          <w:tcPr>
            <w:tcW w:type="dxa" w:w="5112"/>
          </w:tcPr>
          <w:p>
            <w:pPr>
              <w:spacing w:after="40"/>
            </w:pPr>
            <w:r>
              <w:rPr>
                <w:sz w:val="18"/>
              </w:rPr>
            </w:r>
            <w:r>
              <w:rPr>
                <w:b w:val="0"/>
                <w:i w:val="0"/>
                <w:sz w:val="18"/>
              </w:rPr>
              <w:t>Infectious period</w:t>
            </w:r>
          </w:p>
        </w:tc>
        <w:tc>
          <w:tcPr>
            <w:tcW w:type="dxa" w:w="5112"/>
          </w:tcPr>
          <w:p>
            <w:pPr>
              <w:spacing w:after="40"/>
            </w:pPr>
            <w:r>
              <w:rPr>
                <w:sz w:val="18"/>
              </w:rPr>
            </w:r>
            <w:r>
              <w:rPr>
                <w:b w:val="0"/>
                <w:i w:val="0"/>
                <w:sz w:val="18"/>
              </w:rPr>
              <w:t xml:space="preserve">From </w:t>
            </w:r>
            <w:r>
              <w:rPr>
                <w:b/>
                <w:i w:val="0"/>
                <w:sz w:val="18"/>
              </w:rPr>
              <w:t>1–2 days before the rash until all lesions crust</w:t>
            </w:r>
            <w:r>
              <w:rPr>
                <w:b w:val="0"/>
                <w:i w:val="0"/>
                <w:sz w:val="18"/>
              </w:rPr>
              <w:t xml:space="preserve">. In breakthrough disease without crusts, </w:t>
            </w:r>
            <w:r>
              <w:rPr>
                <w:b/>
                <w:i w:val="0"/>
                <w:sz w:val="18"/>
              </w:rPr>
              <w:t>until no new lesions appear for 24 hours</w:t>
            </w:r>
            <w:r>
              <w:rPr>
                <w:b w:val="0"/>
                <w:i w:val="0"/>
                <w:sz w:val="18"/>
              </w:rPr>
              <w:t xml:space="preserve">. </w:t>
            </w:r>
            <w:r>
              <w:rPr>
                <w:b w:val="0"/>
                <w:i w:val="0"/>
                <w:sz w:val="18"/>
              </w:rPr>
              <w:t>The lesions define this, not the fever.</w:t>
            </w:r>
          </w:p>
        </w:tc>
      </w:tr>
      <w:tr>
        <w:tc>
          <w:tcPr>
            <w:tcW w:type="dxa" w:w="5112"/>
          </w:tcPr>
          <w:p>
            <w:pPr>
              <w:spacing w:after="40"/>
            </w:pPr>
            <w:r>
              <w:rPr>
                <w:sz w:val="18"/>
              </w:rPr>
            </w:r>
            <w:r>
              <w:rPr>
                <w:b w:val="0"/>
                <w:i w:val="0"/>
                <w:sz w:val="18"/>
              </w:rPr>
              <w:t>Higher complication risk</w:t>
            </w:r>
          </w:p>
        </w:tc>
        <w:tc>
          <w:tcPr>
            <w:tcW w:type="dxa" w:w="5112"/>
          </w:tcPr>
          <w:p>
            <w:pPr>
              <w:spacing w:after="40"/>
            </w:pPr>
            <w:r>
              <w:rPr>
                <w:sz w:val="18"/>
              </w:rPr>
            </w:r>
            <w:r>
              <w:rPr>
                <w:b w:val="0"/>
                <w:i w:val="0"/>
                <w:sz w:val="18"/>
              </w:rPr>
              <w:t>Adults, pregnancy, newborn age, and immunocompromise.</w:t>
            </w:r>
          </w:p>
        </w:tc>
      </w:tr>
    </w:tbl>
    <w:p>
      <w:pPr>
        <w:spacing w:after="80"/>
      </w:pPr>
    </w:p>
    <w:p>
      <w:pPr>
        <w:jc w:val="center"/>
      </w:pPr>
      <w:r>
        <w:drawing>
          <wp:inline xmlns:a="http://schemas.openxmlformats.org/drawingml/2006/main" xmlns:pic="http://schemas.openxmlformats.org/drawingml/2006/picture">
            <wp:extent cx="3840480" cy="2889389"/>
            <wp:docPr id="9" name="Picture 9"/>
            <wp:cNvGraphicFramePr>
              <a:graphicFrameLocks noChangeAspect="1"/>
            </wp:cNvGraphicFramePr>
            <a:graphic>
              <a:graphicData uri="http://schemas.openxmlformats.org/drawingml/2006/picture">
                <pic:pic>
                  <pic:nvPicPr>
                    <pic:cNvPr id="0" name="Clinical_Medicine_and_Surgery_I_Exam_1_cms-derm-staging-images_varicella-day-2-3-5-10.jpg"/>
                    <pic:cNvPicPr/>
                  </pic:nvPicPr>
                  <pic:blipFill>
                    <a:blip r:embed="rId17"/>
                    <a:stretch>
                      <a:fillRect/>
                    </a:stretch>
                  </pic:blipFill>
                  <pic:spPr>
                    <a:xfrm>
                      <a:off x="0" y="0"/>
                      <a:ext cx="3840480" cy="2889389"/>
                    </a:xfrm>
                    <a:prstGeom prst="rect"/>
                  </pic:spPr>
                </pic:pic>
              </a:graphicData>
            </a:graphic>
          </wp:inline>
        </w:drawing>
      </w:r>
    </w:p>
    <w:p>
      <w:pPr>
        <w:spacing w:after="160"/>
        <w:jc w:val="center"/>
      </w:pPr>
      <w:r>
        <w:rPr>
          <w:sz w:val="15"/>
        </w:rPr>
        <w:t>One lesion followed from day 2 to day 10. In a real patient lesions at each of these points are present at the same time. Slide 85.</w:t>
      </w:r>
    </w:p>
    <w:p>
      <w:pPr>
        <w:pStyle w:val="Heading1"/>
        <w:spacing w:before="280" w:after="100"/>
      </w:pPr>
      <w:r>
        <w:rPr>
          <w:rFonts w:ascii="Georgia" w:hAnsi="Georgia"/>
          <w:color w:val="17494B"/>
        </w:rPr>
        <w:t>Wound healing — four phases</w:t>
      </w:r>
    </w:p>
    <w:p>
      <w:pPr>
        <w:spacing w:after="120"/>
      </w:pPr>
      <w:r>
        <w:rPr>
          <w:b w:val="0"/>
          <w:i w:val="0"/>
        </w:rPr>
        <w:t>Benign Skin Lesions · slide 11</w:t>
      </w:r>
    </w:p>
    <w:p>
      <w:pPr>
        <w:spacing w:after="120"/>
      </w:pPr>
      <w:r>
        <w:rPr>
          <w:b w:val="0"/>
          <w:i w:val="0"/>
        </w:rPr>
        <w:t>The deck names four phases and one mechanism for increasing strength.</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1. Hemostasis</w:t>
            </w:r>
          </w:p>
        </w:tc>
        <w:tc>
          <w:tcPr>
            <w:tcW w:type="dxa" w:w="5112"/>
          </w:tcPr>
          <w:p>
            <w:pPr>
              <w:spacing w:after="40"/>
            </w:pPr>
            <w:r>
              <w:rPr>
                <w:sz w:val="18"/>
              </w:rPr>
            </w:r>
            <w:r>
              <w:rPr>
                <w:b w:val="0"/>
                <w:i w:val="0"/>
                <w:sz w:val="18"/>
              </w:rPr>
              <w:t>The first phase.</w:t>
            </w:r>
          </w:p>
        </w:tc>
      </w:tr>
      <w:tr>
        <w:tc>
          <w:tcPr>
            <w:tcW w:type="dxa" w:w="5112"/>
          </w:tcPr>
          <w:p>
            <w:pPr>
              <w:spacing w:after="40"/>
            </w:pPr>
            <w:r>
              <w:rPr>
                <w:sz w:val="18"/>
              </w:rPr>
            </w:r>
            <w:r>
              <w:rPr>
                <w:b w:val="0"/>
                <w:i w:val="0"/>
                <w:sz w:val="18"/>
              </w:rPr>
              <w:t>2. Inflammation</w:t>
            </w:r>
          </w:p>
        </w:tc>
        <w:tc>
          <w:tcPr>
            <w:tcW w:type="dxa" w:w="5112"/>
          </w:tcPr>
          <w:p>
            <w:pPr>
              <w:spacing w:after="40"/>
            </w:pPr>
            <w:r>
              <w:rPr>
                <w:sz w:val="18"/>
              </w:rPr>
            </w:r>
            <w:r>
              <w:rPr>
                <w:b w:val="0"/>
                <w:i w:val="0"/>
                <w:sz w:val="18"/>
              </w:rPr>
              <w:t>—</w:t>
            </w:r>
          </w:p>
        </w:tc>
      </w:tr>
      <w:tr>
        <w:tc>
          <w:tcPr>
            <w:tcW w:type="dxa" w:w="5112"/>
          </w:tcPr>
          <w:p>
            <w:pPr>
              <w:spacing w:after="40"/>
            </w:pPr>
            <w:r>
              <w:rPr>
                <w:sz w:val="18"/>
              </w:rPr>
            </w:r>
            <w:r>
              <w:rPr>
                <w:b w:val="0"/>
                <w:i w:val="0"/>
                <w:sz w:val="18"/>
              </w:rPr>
              <w:t>3. Proliferation</w:t>
            </w:r>
          </w:p>
        </w:tc>
        <w:tc>
          <w:tcPr>
            <w:tcW w:type="dxa" w:w="5112"/>
          </w:tcPr>
          <w:p>
            <w:pPr>
              <w:spacing w:after="40"/>
            </w:pPr>
            <w:r>
              <w:rPr>
                <w:sz w:val="18"/>
              </w:rPr>
            </w:r>
            <w:r>
              <w:rPr>
                <w:b w:val="0"/>
                <w:i w:val="0"/>
                <w:sz w:val="18"/>
              </w:rPr>
              <w:t>—</w:t>
            </w:r>
          </w:p>
        </w:tc>
      </w:tr>
      <w:tr>
        <w:tc>
          <w:tcPr>
            <w:tcW w:type="dxa" w:w="5112"/>
          </w:tcPr>
          <w:p>
            <w:pPr>
              <w:spacing w:after="40"/>
            </w:pPr>
            <w:r>
              <w:rPr>
                <w:sz w:val="18"/>
              </w:rPr>
            </w:r>
            <w:r>
              <w:rPr>
                <w:b w:val="0"/>
                <w:i w:val="0"/>
                <w:sz w:val="18"/>
              </w:rPr>
              <w:t>4. Remodeling</w:t>
            </w:r>
          </w:p>
        </w:tc>
        <w:tc>
          <w:tcPr>
            <w:tcW w:type="dxa" w:w="5112"/>
          </w:tcPr>
          <w:p>
            <w:pPr>
              <w:spacing w:after="40"/>
            </w:pPr>
            <w:r>
              <w:rPr>
                <w:sz w:val="18"/>
              </w:rPr>
            </w:r>
            <w:r>
              <w:rPr>
                <w:b w:val="0"/>
                <w:i w:val="0"/>
                <w:sz w:val="18"/>
              </w:rPr>
              <w:t xml:space="preserve">As the scar matures, </w:t>
            </w:r>
            <w:r>
              <w:rPr>
                <w:b/>
                <w:i w:val="0"/>
                <w:sz w:val="18"/>
              </w:rPr>
              <w:t>tensile strength improves through progressive cross-linking of collagen fibers</w:t>
            </w:r>
            <w:r>
              <w:rPr>
                <w:b w:val="0"/>
                <w:i w:val="0"/>
                <w:sz w:val="18"/>
              </w:rPr>
              <w:t xml:space="preserve"> — it is not fixed at closure.</w:t>
            </w:r>
          </w:p>
        </w:tc>
      </w:tr>
    </w:tbl>
    <w:p>
      <w:pPr>
        <w:spacing w:after="80"/>
      </w:pPr>
    </w:p>
    <w:p>
      <w:pPr>
        <w:jc w:val="center"/>
      </w:pPr>
      <w:r>
        <w:drawing>
          <wp:inline xmlns:a="http://schemas.openxmlformats.org/drawingml/2006/main" xmlns:pic="http://schemas.openxmlformats.org/drawingml/2006/picture">
            <wp:extent cx="3840480" cy="2688336"/>
            <wp:docPr id="10" name="Picture 10"/>
            <wp:cNvGraphicFramePr>
              <a:graphicFrameLocks noChangeAspect="1"/>
            </wp:cNvGraphicFramePr>
            <a:graphic>
              <a:graphicData uri="http://schemas.openxmlformats.org/drawingml/2006/picture">
                <pic:pic>
                  <pic:nvPicPr>
                    <pic:cNvPr id="0" name="Clinical_Medicine_and_Surgery_I_Exam_1_cms-derm-staging-images_wound-healing-four-phases.jpg"/>
                    <pic:cNvPicPr/>
                  </pic:nvPicPr>
                  <pic:blipFill>
                    <a:blip r:embed="rId18"/>
                    <a:stretch>
                      <a:fillRect/>
                    </a:stretch>
                  </pic:blipFill>
                  <pic:spPr>
                    <a:xfrm>
                      <a:off x="0" y="0"/>
                      <a:ext cx="3840480" cy="2688336"/>
                    </a:xfrm>
                    <a:prstGeom prst="rect"/>
                  </pic:spPr>
                </pic:pic>
              </a:graphicData>
            </a:graphic>
          </wp:inline>
        </w:drawing>
      </w:r>
    </w:p>
    <w:p>
      <w:pPr>
        <w:spacing w:after="160"/>
        <w:jc w:val="center"/>
      </w:pPr>
      <w:r>
        <w:rPr>
          <w:sz w:val="15"/>
        </w:rPr>
        <w:t>The four phases with the deck's own time bands: seconds to hours, hours to days, days to weeks, weeks to months. Slide 11.</w:t>
      </w:r>
    </w:p>
    <w:p>
      <w:pPr>
        <w:pStyle w:val="Heading1"/>
        <w:spacing w:before="280" w:after="100"/>
      </w:pPr>
      <w:r>
        <w:rPr>
          <w:rFonts w:ascii="Georgia" w:hAnsi="Georgia"/>
          <w:color w:val="17494B"/>
        </w:rPr>
        <w:t>Infantile hemangioma — growth phases</w:t>
      </w:r>
    </w:p>
    <w:p>
      <w:pPr>
        <w:spacing w:after="120"/>
      </w:pPr>
      <w:r>
        <w:rPr>
          <w:b w:val="0"/>
          <w:i w:val="0"/>
        </w:rPr>
        <w:t>Benign Skin Lesions · slides 65–66</w:t>
      </w:r>
    </w:p>
    <w:p>
      <w:pPr>
        <w:spacing w:after="120"/>
      </w:pPr>
      <w:r>
        <w:rPr>
          <w:b w:val="0"/>
          <w:i w:val="0"/>
        </w:rPr>
        <w:t>A biphasic natural history, which is what separates it from a vascular malformation that never involutes.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Earliest sign</w:t>
            </w:r>
          </w:p>
        </w:tc>
        <w:tc>
          <w:tcPr>
            <w:tcW w:type="dxa" w:w="5112"/>
          </w:tcPr>
          <w:p>
            <w:pPr>
              <w:spacing w:after="40"/>
            </w:pPr>
            <w:r>
              <w:rPr>
                <w:sz w:val="18"/>
              </w:rPr>
            </w:r>
            <w:r>
              <w:rPr>
                <w:b/>
                <w:i w:val="0"/>
                <w:sz w:val="18"/>
              </w:rPr>
              <w:t>Blanching</w:t>
            </w:r>
            <w:r>
              <w:rPr>
                <w:b w:val="0"/>
                <w:i w:val="0"/>
                <w:sz w:val="18"/>
              </w:rPr>
              <w:t xml:space="preserve"> of the involved skin, then fine </w:t>
            </w:r>
            <w:r>
              <w:rPr>
                <w:b/>
                <w:i w:val="0"/>
                <w:sz w:val="18"/>
              </w:rPr>
              <w:t>telangiectasias</w:t>
            </w:r>
            <w:r>
              <w:rPr>
                <w:b w:val="0"/>
                <w:i w:val="0"/>
                <w:sz w:val="18"/>
              </w:rPr>
              <w:t>, then a red or crimson macule.</w:t>
            </w:r>
          </w:p>
        </w:tc>
      </w:tr>
      <w:tr>
        <w:tc>
          <w:tcPr>
            <w:tcW w:type="dxa" w:w="5112"/>
          </w:tcPr>
          <w:p>
            <w:pPr>
              <w:spacing w:after="40"/>
            </w:pPr>
            <w:r>
              <w:rPr>
                <w:sz w:val="18"/>
              </w:rPr>
            </w:r>
            <w:r>
              <w:rPr>
                <w:b w:val="0"/>
                <w:i w:val="0"/>
                <w:sz w:val="18"/>
              </w:rPr>
              <w:t>Proliferative</w:t>
            </w:r>
          </w:p>
        </w:tc>
        <w:tc>
          <w:tcPr>
            <w:tcW w:type="dxa" w:w="5112"/>
          </w:tcPr>
          <w:p>
            <w:pPr>
              <w:spacing w:after="40"/>
            </w:pPr>
            <w:r>
              <w:rPr>
                <w:sz w:val="18"/>
              </w:rPr>
            </w:r>
            <w:r>
              <w:rPr>
                <w:b w:val="0"/>
                <w:i w:val="0"/>
                <w:sz w:val="18"/>
              </w:rPr>
              <w:t xml:space="preserve">Rapid growth during the neonatal period (birth to 4 weeks); </w:t>
            </w:r>
            <w:r>
              <w:rPr>
                <w:b/>
                <w:i w:val="0"/>
                <w:sz w:val="18"/>
              </w:rPr>
              <w:t>most growth in the first 4–6 months</w:t>
            </w:r>
            <w:r>
              <w:rPr>
                <w:b w:val="0"/>
                <w:i w:val="0"/>
                <w:sz w:val="18"/>
              </w:rPr>
              <w:t>.</w:t>
            </w:r>
          </w:p>
        </w:tc>
      </w:tr>
      <w:tr>
        <w:tc>
          <w:tcPr>
            <w:tcW w:type="dxa" w:w="5112"/>
          </w:tcPr>
          <w:p>
            <w:pPr>
              <w:spacing w:after="40"/>
            </w:pPr>
            <w:r>
              <w:rPr>
                <w:sz w:val="18"/>
              </w:rPr>
            </w:r>
            <w:r>
              <w:rPr>
                <w:b w:val="0"/>
                <w:i w:val="0"/>
                <w:sz w:val="18"/>
              </w:rPr>
              <w:t>Involution</w:t>
            </w:r>
          </w:p>
        </w:tc>
        <w:tc>
          <w:tcPr>
            <w:tcW w:type="dxa" w:w="5112"/>
          </w:tcPr>
          <w:p>
            <w:pPr>
              <w:spacing w:after="40"/>
            </w:pPr>
            <w:r>
              <w:rPr>
                <w:sz w:val="18"/>
              </w:rPr>
            </w:r>
            <w:r>
              <w:rPr>
                <w:b w:val="0"/>
                <w:i w:val="0"/>
                <w:sz w:val="18"/>
              </w:rPr>
              <w:t xml:space="preserve">A subsequent </w:t>
            </w:r>
            <w:r>
              <w:rPr>
                <w:b/>
                <w:i w:val="0"/>
                <w:sz w:val="18"/>
              </w:rPr>
              <w:t>slower involution phase</w:t>
            </w:r>
            <w:r>
              <w:rPr>
                <w:b w:val="0"/>
                <w:i w:val="0"/>
                <w:sz w:val="18"/>
              </w:rPr>
              <w:t>.</w:t>
            </w:r>
          </w:p>
        </w:tc>
      </w:tr>
    </w:tbl>
    <w:p>
      <w:pPr>
        <w:spacing w:after="80"/>
      </w:pPr>
    </w:p>
    <w:p>
      <w:pPr>
        <w:jc w:val="center"/>
      </w:pPr>
      <w:r>
        <w:drawing>
          <wp:inline xmlns:a="http://schemas.openxmlformats.org/drawingml/2006/main" xmlns:pic="http://schemas.openxmlformats.org/drawingml/2006/picture">
            <wp:extent cx="3840480" cy="2965704"/>
            <wp:docPr id="11" name="Picture 11"/>
            <wp:cNvGraphicFramePr>
              <a:graphicFrameLocks noChangeAspect="1"/>
            </wp:cNvGraphicFramePr>
            <a:graphic>
              <a:graphicData uri="http://schemas.openxmlformats.org/drawingml/2006/picture">
                <pic:pic>
                  <pic:nvPicPr>
                    <pic:cNvPr id="0" name="Clinical_Medicine_and_Surgery_I_Exam_1_cms-derm-staging-images_hemangioma-growth-3days-5months.jpg"/>
                    <pic:cNvPicPr/>
                  </pic:nvPicPr>
                  <pic:blipFill>
                    <a:blip r:embed="rId19"/>
                    <a:stretch>
                      <a:fillRect/>
                    </a:stretch>
                  </pic:blipFill>
                  <pic:spPr>
                    <a:xfrm>
                      <a:off x="0" y="0"/>
                      <a:ext cx="3840480" cy="2965704"/>
                    </a:xfrm>
                    <a:prstGeom prst="rect"/>
                  </pic:spPr>
                </pic:pic>
              </a:graphicData>
            </a:graphic>
          </wp:inline>
        </w:drawing>
      </w:r>
    </w:p>
    <w:p>
      <w:pPr>
        <w:spacing w:after="160"/>
        <w:jc w:val="center"/>
      </w:pPr>
      <w:r>
        <w:rPr>
          <w:sz w:val="15"/>
        </w:rPr>
        <w:t>The proliferative phase in one infant from 3 days to 5 months — the growth curve the parents are being counseled about. Slide 68.</w:t>
      </w:r>
    </w:p>
    <w:p>
      <w:pPr>
        <w:pStyle w:val="Heading1"/>
        <w:spacing w:before="280" w:after="100"/>
      </w:pPr>
      <w:r>
        <w:rPr>
          <w:rFonts w:ascii="Georgia" w:hAnsi="Georgia"/>
          <w:color w:val="17494B"/>
        </w:rPr>
        <w:t>Keratoacanthoma — triphasic pattern</w:t>
      </w:r>
    </w:p>
    <w:p>
      <w:pPr>
        <w:spacing w:after="120"/>
      </w:pPr>
      <w:r>
        <w:rPr>
          <w:b w:val="0"/>
          <w:i w:val="0"/>
        </w:rPr>
        <w:t>Benign Skin Lesions · slide 50</w:t>
      </w:r>
    </w:p>
    <w:p>
      <w:pPr>
        <w:spacing w:after="120"/>
      </w:pPr>
      <w:r>
        <w:rPr>
          <w:b w:val="0"/>
          <w:i w:val="0"/>
        </w:rPr>
        <w:t>The deck calls this triphasic, and it is why the lesion is mistaken for benign.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1. Rapid growth</w:t>
            </w:r>
          </w:p>
        </w:tc>
        <w:tc>
          <w:tcPr>
            <w:tcW w:type="dxa" w:w="5112"/>
          </w:tcPr>
          <w:p>
            <w:pPr>
              <w:spacing w:after="40"/>
            </w:pPr>
            <w:r>
              <w:rPr>
                <w:sz w:val="18"/>
              </w:rPr>
            </w:r>
            <w:r>
              <w:rPr>
                <w:b w:val="0"/>
                <w:i w:val="0"/>
                <w:sz w:val="18"/>
              </w:rPr>
              <w:t xml:space="preserve">Within </w:t>
            </w:r>
            <w:r>
              <w:rPr>
                <w:b/>
                <w:i w:val="0"/>
                <w:sz w:val="18"/>
              </w:rPr>
              <w:t>6–8 weeks</w:t>
            </w:r>
            <w:r>
              <w:rPr>
                <w:b w:val="0"/>
                <w:i w:val="0"/>
                <w:sz w:val="18"/>
              </w:rPr>
              <w:t>.</w:t>
            </w:r>
          </w:p>
        </w:tc>
      </w:tr>
      <w:tr>
        <w:tc>
          <w:tcPr>
            <w:tcW w:type="dxa" w:w="5112"/>
          </w:tcPr>
          <w:p>
            <w:pPr>
              <w:spacing w:after="40"/>
            </w:pPr>
            <w:r>
              <w:rPr>
                <w:sz w:val="18"/>
              </w:rPr>
            </w:r>
            <w:r>
              <w:rPr>
                <w:b w:val="0"/>
                <w:i w:val="0"/>
                <w:sz w:val="18"/>
              </w:rPr>
              <w:t>2. Stabilization</w:t>
            </w:r>
          </w:p>
        </w:tc>
        <w:tc>
          <w:tcPr>
            <w:tcW w:type="dxa" w:w="5112"/>
          </w:tcPr>
          <w:p>
            <w:pPr>
              <w:spacing w:after="40"/>
            </w:pPr>
            <w:r>
              <w:rPr>
                <w:sz w:val="18"/>
              </w:rPr>
            </w:r>
            <w:r>
              <w:rPr>
                <w:b w:val="0"/>
                <w:i w:val="0"/>
                <w:sz w:val="18"/>
              </w:rPr>
              <w:t>—</w:t>
            </w:r>
          </w:p>
        </w:tc>
      </w:tr>
      <w:tr>
        <w:tc>
          <w:tcPr>
            <w:tcW w:type="dxa" w:w="5112"/>
          </w:tcPr>
          <w:p>
            <w:pPr>
              <w:spacing w:after="40"/>
            </w:pPr>
            <w:r>
              <w:rPr>
                <w:sz w:val="18"/>
              </w:rPr>
            </w:r>
            <w:r>
              <w:rPr>
                <w:b w:val="0"/>
                <w:i w:val="0"/>
                <w:sz w:val="18"/>
              </w:rPr>
              <w:t>3. Regression</w:t>
            </w:r>
          </w:p>
        </w:tc>
        <w:tc>
          <w:tcPr>
            <w:tcW w:type="dxa" w:w="5112"/>
          </w:tcPr>
          <w:p>
            <w:pPr>
              <w:spacing w:after="40"/>
            </w:pPr>
            <w:r>
              <w:rPr>
                <w:sz w:val="18"/>
              </w:rPr>
            </w:r>
            <w:r>
              <w:rPr>
                <w:b w:val="0"/>
                <w:i w:val="0"/>
                <w:sz w:val="18"/>
              </w:rPr>
              <w:t xml:space="preserve">After </w:t>
            </w:r>
            <w:r>
              <w:rPr>
                <w:b/>
                <w:i w:val="0"/>
                <w:sz w:val="18"/>
              </w:rPr>
              <w:t>3–6 months</w:t>
            </w:r>
            <w:r>
              <w:rPr>
                <w:b w:val="0"/>
                <w:i w:val="0"/>
                <w:sz w:val="18"/>
              </w:rPr>
              <w:t xml:space="preserve">. </w:t>
            </w:r>
            <w:r>
              <w:rPr>
                <w:b w:val="0"/>
                <w:i w:val="0"/>
                <w:sz w:val="18"/>
              </w:rPr>
              <w:t>It may instead continue growing or rarely metastasise, and it cannot be told from squamous cell carcinoma clinically — biopsy is the only reliable method.</w:t>
            </w:r>
          </w:p>
        </w:tc>
      </w:tr>
    </w:tbl>
    <w:p>
      <w:pPr>
        <w:spacing w:after="80"/>
      </w:pPr>
    </w:p>
    <w:p>
      <w:pPr>
        <w:jc w:val="center"/>
      </w:pPr>
      <w:r>
        <w:drawing>
          <wp:inline xmlns:a="http://schemas.openxmlformats.org/drawingml/2006/main" xmlns:pic="http://schemas.openxmlformats.org/drawingml/2006/picture">
            <wp:extent cx="3840480" cy="2899094"/>
            <wp:docPr id="12" name="Picture 12"/>
            <wp:cNvGraphicFramePr>
              <a:graphicFrameLocks noChangeAspect="1"/>
            </wp:cNvGraphicFramePr>
            <a:graphic>
              <a:graphicData uri="http://schemas.openxmlformats.org/drawingml/2006/picture">
                <pic:pic>
                  <pic:nvPicPr>
                    <pic:cNvPr id="0" name="Clinical_Medicine_and_Surgery_I_Exam_1_cms-derm-staging-images_keratoacanthoma-crateriform.jpg"/>
                    <pic:cNvPicPr/>
                  </pic:nvPicPr>
                  <pic:blipFill>
                    <a:blip r:embed="rId20"/>
                    <a:stretch>
                      <a:fillRect/>
                    </a:stretch>
                  </pic:blipFill>
                  <pic:spPr>
                    <a:xfrm>
                      <a:off x="0" y="0"/>
                      <a:ext cx="3840480" cy="2899094"/>
                    </a:xfrm>
                    <a:prstGeom prst="rect"/>
                  </pic:spPr>
                </pic:pic>
              </a:graphicData>
            </a:graphic>
          </wp:inline>
        </w:drawing>
      </w:r>
    </w:p>
    <w:p>
      <w:pPr>
        <w:spacing w:after="160"/>
        <w:jc w:val="center"/>
      </w:pPr>
      <w:r>
        <w:rPr>
          <w:sz w:val="15"/>
        </w:rPr>
        <w:t>The crateriform nodule with its central keratin plug. Slide 49.</w:t>
      </w:r>
    </w:p>
    <w:p>
      <w:pPr>
        <w:pStyle w:val="Heading1"/>
        <w:spacing w:before="280" w:after="100"/>
      </w:pPr>
      <w:r>
        <w:rPr>
          <w:rFonts w:ascii="Georgia" w:hAnsi="Georgia"/>
          <w:color w:val="17494B"/>
        </w:rPr>
        <w:t>Eczema — stage of the reaction</w:t>
      </w:r>
    </w:p>
    <w:p>
      <w:pPr>
        <w:spacing w:after="120"/>
      </w:pPr>
      <w:r>
        <w:rPr>
          <w:b w:val="0"/>
          <w:i w:val="0"/>
        </w:rPr>
        <w:t>General Dermatology I · slide 46</w:t>
      </w:r>
    </w:p>
    <w:p>
      <w:pPr>
        <w:spacing w:after="120"/>
      </w:pPr>
      <w:r>
        <w:rPr>
          <w:b w:val="0"/>
          <w:i w:val="0"/>
        </w:rPr>
        <w:t>Eczema changes appearance over time, so the same condition looks different depending on when it is seen.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Acute</w:t>
            </w:r>
          </w:p>
        </w:tc>
        <w:tc>
          <w:tcPr>
            <w:tcW w:type="dxa" w:w="5112"/>
          </w:tcPr>
          <w:p>
            <w:pPr>
              <w:spacing w:after="40"/>
            </w:pPr>
            <w:r>
              <w:rPr>
                <w:sz w:val="18"/>
              </w:rPr>
            </w:r>
            <w:r>
              <w:rPr>
                <w:b w:val="0"/>
                <w:i w:val="0"/>
                <w:sz w:val="18"/>
              </w:rPr>
              <w:t>Erythema, edema, papules, vesicles, oozing and crusting.</w:t>
            </w:r>
          </w:p>
        </w:tc>
      </w:tr>
      <w:tr>
        <w:tc>
          <w:tcPr>
            <w:tcW w:type="dxa" w:w="5112"/>
          </w:tcPr>
          <w:p>
            <w:pPr>
              <w:spacing w:after="40"/>
            </w:pPr>
            <w:r>
              <w:rPr>
                <w:sz w:val="18"/>
              </w:rPr>
            </w:r>
            <w:r>
              <w:rPr>
                <w:b w:val="0"/>
                <w:i w:val="0"/>
                <w:sz w:val="18"/>
              </w:rPr>
              <w:t>Subacute</w:t>
            </w:r>
          </w:p>
        </w:tc>
        <w:tc>
          <w:tcPr>
            <w:tcW w:type="dxa" w:w="5112"/>
          </w:tcPr>
          <w:p>
            <w:pPr>
              <w:spacing w:after="40"/>
            </w:pPr>
            <w:r>
              <w:rPr>
                <w:sz w:val="18"/>
              </w:rPr>
            </w:r>
            <w:r>
              <w:rPr>
                <w:b w:val="0"/>
                <w:i w:val="0"/>
                <w:sz w:val="18"/>
              </w:rPr>
              <w:t>Scaling, erythema, papules and excoriations.</w:t>
            </w:r>
          </w:p>
        </w:tc>
      </w:tr>
      <w:tr>
        <w:tc>
          <w:tcPr>
            <w:tcW w:type="dxa" w:w="5112"/>
          </w:tcPr>
          <w:p>
            <w:pPr>
              <w:spacing w:after="40"/>
            </w:pPr>
            <w:r>
              <w:rPr>
                <w:sz w:val="18"/>
              </w:rPr>
            </w:r>
            <w:r>
              <w:rPr>
                <w:b w:val="0"/>
                <w:i w:val="0"/>
                <w:sz w:val="18"/>
              </w:rPr>
              <w:t>Chronic</w:t>
            </w:r>
          </w:p>
        </w:tc>
        <w:tc>
          <w:tcPr>
            <w:tcW w:type="dxa" w:w="5112"/>
          </w:tcPr>
          <w:p>
            <w:pPr>
              <w:spacing w:after="40"/>
            </w:pPr>
            <w:r>
              <w:rPr>
                <w:sz w:val="18"/>
              </w:rPr>
            </w:r>
            <w:r>
              <w:rPr>
                <w:b w:val="0"/>
                <w:i w:val="0"/>
                <w:sz w:val="18"/>
              </w:rPr>
              <w:t xml:space="preserve">Xerosis, fissuring, </w:t>
            </w:r>
            <w:r>
              <w:rPr>
                <w:b/>
                <w:i w:val="0"/>
                <w:sz w:val="18"/>
              </w:rPr>
              <w:t>lichenification</w:t>
            </w:r>
            <w:r>
              <w:rPr>
                <w:b w:val="0"/>
                <w:i w:val="0"/>
                <w:sz w:val="18"/>
              </w:rPr>
              <w:t xml:space="preserve"> and pigment alteration.</w:t>
            </w:r>
          </w:p>
        </w:tc>
      </w:tr>
    </w:tbl>
    <w:p>
      <w:pPr>
        <w:spacing w:after="80"/>
      </w:pPr>
    </w:p>
    <w:p>
      <w:pPr>
        <w:jc w:val="center"/>
      </w:pPr>
      <w:r>
        <w:drawing>
          <wp:inline xmlns:a="http://schemas.openxmlformats.org/drawingml/2006/main" xmlns:pic="http://schemas.openxmlformats.org/drawingml/2006/picture">
            <wp:extent cx="3840480" cy="2878356"/>
            <wp:docPr id="13" name="Picture 13"/>
            <wp:cNvGraphicFramePr>
              <a:graphicFrameLocks noChangeAspect="1"/>
            </wp:cNvGraphicFramePr>
            <a:graphic>
              <a:graphicData uri="http://schemas.openxmlformats.org/drawingml/2006/picture">
                <pic:pic>
                  <pic:nvPicPr>
                    <pic:cNvPr id="0" name="Clinical_Medicine_and_Surgery_I_Exam_1_cms-derm-staging-images_eczema-chronic-lichenification.jpg"/>
                    <pic:cNvPicPr/>
                  </pic:nvPicPr>
                  <pic:blipFill>
                    <a:blip r:embed="rId21"/>
                    <a:stretch>
                      <a:fillRect/>
                    </a:stretch>
                  </pic:blipFill>
                  <pic:spPr>
                    <a:xfrm>
                      <a:off x="0" y="0"/>
                      <a:ext cx="3840480" cy="2878356"/>
                    </a:xfrm>
                    <a:prstGeom prst="rect"/>
                  </pic:spPr>
                </pic:pic>
              </a:graphicData>
            </a:graphic>
          </wp:inline>
        </w:drawing>
      </w:r>
    </w:p>
    <w:p>
      <w:pPr>
        <w:spacing w:after="160"/>
        <w:jc w:val="center"/>
      </w:pPr>
      <w:r>
        <w:rPr>
          <w:sz w:val="15"/>
        </w:rPr>
        <w:t>Chronic-stage hands: thickened, fissured, lichenified skin with accentuated skin markings. Slide 46.</w:t>
      </w:r>
    </w:p>
    <w:p>
      <w:pPr>
        <w:pStyle w:val="Heading1"/>
        <w:spacing w:before="280" w:after="100"/>
      </w:pPr>
      <w:r>
        <w:rPr>
          <w:rFonts w:ascii="Georgia" w:hAnsi="Georgia"/>
          <w:color w:val="17494B"/>
        </w:rPr>
        <w:t>Topical corticosteroid potency</w:t>
      </w:r>
    </w:p>
    <w:p>
      <w:pPr>
        <w:spacing w:after="120"/>
      </w:pPr>
      <w:r>
        <w:rPr>
          <w:b w:val="0"/>
          <w:i w:val="0"/>
        </w:rPr>
        <w:t>General Dermatology I · slides 41–42</w:t>
      </w:r>
    </w:p>
    <w:p>
      <w:pPr>
        <w:spacing w:after="120"/>
      </w:pPr>
      <w:r>
        <w:rPr>
          <w:b w:val="0"/>
          <w:i w:val="0"/>
        </w:rPr>
        <w:t xml:space="preserve">Potency is selected </w:t>
      </w:r>
      <w:r>
        <w:rPr>
          <w:b/>
          <w:i w:val="0"/>
        </w:rPr>
        <w:t>by site and severity</w:t>
      </w:r>
      <w:r>
        <w:rPr>
          <w:b w:val="0"/>
          <w:i w:val="0"/>
        </w:rPr>
        <w:t xml:space="preserve"> — low potency or a non-steroid on the face and eyelids, low to medium on the body. Usual application is </w:t>
      </w:r>
      <w:r>
        <w:rPr>
          <w:b/>
          <w:i w:val="0"/>
        </w:rPr>
        <w:t>twice daily for two weeks</w:t>
      </w:r>
      <w:r>
        <w:rPr>
          <w:b w:val="0"/>
          <w:i w:val="0"/>
        </w:rPr>
        <w:t>. Prolonged use causes atrophy, striae, telangiectasia and hypopigmentation.</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Mild</w:t>
            </w:r>
          </w:p>
        </w:tc>
        <w:tc>
          <w:tcPr>
            <w:tcW w:type="dxa" w:w="5112"/>
          </w:tcPr>
          <w:p>
            <w:pPr>
              <w:spacing w:after="40"/>
            </w:pPr>
            <w:r>
              <w:rPr>
                <w:sz w:val="18"/>
              </w:rPr>
            </w:r>
            <w:r>
              <w:rPr>
                <w:b w:val="0"/>
                <w:i w:val="0"/>
                <w:sz w:val="18"/>
              </w:rPr>
              <w:t>Hydrocortisone, all strengths — 0.1%, 0.5%, 1%, 2.5%</w:t>
            </w:r>
          </w:p>
        </w:tc>
      </w:tr>
      <w:tr>
        <w:tc>
          <w:tcPr>
            <w:tcW w:type="dxa" w:w="5112"/>
          </w:tcPr>
          <w:p>
            <w:pPr>
              <w:spacing w:after="40"/>
            </w:pPr>
            <w:r>
              <w:rPr>
                <w:sz w:val="18"/>
              </w:rPr>
            </w:r>
            <w:r>
              <w:rPr>
                <w:b w:val="0"/>
                <w:i w:val="0"/>
                <w:sz w:val="18"/>
              </w:rPr>
              <w:t>Moderate</w:t>
            </w:r>
          </w:p>
        </w:tc>
        <w:tc>
          <w:tcPr>
            <w:tcW w:type="dxa" w:w="5112"/>
          </w:tcPr>
          <w:p>
            <w:pPr>
              <w:spacing w:after="40"/>
            </w:pPr>
            <w:r>
              <w:rPr>
                <w:sz w:val="18"/>
              </w:rPr>
            </w:r>
            <w:r>
              <w:rPr>
                <w:b w:val="0"/>
                <w:i w:val="0"/>
                <w:sz w:val="18"/>
              </w:rPr>
              <w:t>Betamethasone valerate 0.025%</w:t>
            </w:r>
          </w:p>
        </w:tc>
      </w:tr>
      <w:tr>
        <w:tc>
          <w:tcPr>
            <w:tcW w:type="dxa" w:w="5112"/>
          </w:tcPr>
          <w:p>
            <w:pPr>
              <w:spacing w:after="40"/>
            </w:pPr>
            <w:r>
              <w:rPr>
                <w:sz w:val="18"/>
              </w:rPr>
            </w:r>
            <w:r>
              <w:rPr>
                <w:b w:val="0"/>
                <w:i w:val="0"/>
                <w:sz w:val="18"/>
              </w:rPr>
              <w:t>Medium to high</w:t>
            </w:r>
          </w:p>
        </w:tc>
        <w:tc>
          <w:tcPr>
            <w:tcW w:type="dxa" w:w="5112"/>
          </w:tcPr>
          <w:p>
            <w:pPr>
              <w:spacing w:after="40"/>
            </w:pPr>
            <w:r>
              <w:rPr>
                <w:sz w:val="18"/>
              </w:rPr>
            </w:r>
            <w:r>
              <w:rPr>
                <w:b w:val="0"/>
                <w:i w:val="0"/>
                <w:sz w:val="18"/>
              </w:rPr>
              <w:t>Triamcinolone acetonide 0.1% · betamethasone valerate 0.1% · betamethasone dipropionate 0.05%</w:t>
            </w:r>
          </w:p>
        </w:tc>
      </w:tr>
      <w:tr>
        <w:tc>
          <w:tcPr>
            <w:tcW w:type="dxa" w:w="5112"/>
          </w:tcPr>
          <w:p>
            <w:pPr>
              <w:spacing w:after="40"/>
            </w:pPr>
            <w:r>
              <w:rPr>
                <w:sz w:val="18"/>
              </w:rPr>
            </w:r>
            <w:r>
              <w:rPr>
                <w:b w:val="0"/>
                <w:i w:val="0"/>
                <w:sz w:val="18"/>
              </w:rPr>
              <w:t>High</w:t>
            </w:r>
          </w:p>
        </w:tc>
        <w:tc>
          <w:tcPr>
            <w:tcW w:type="dxa" w:w="5112"/>
          </w:tcPr>
          <w:p>
            <w:pPr>
              <w:spacing w:after="40"/>
            </w:pPr>
            <w:r>
              <w:rPr>
                <w:sz w:val="18"/>
              </w:rPr>
            </w:r>
            <w:r>
              <w:rPr>
                <w:b w:val="0"/>
                <w:i w:val="0"/>
                <w:sz w:val="18"/>
              </w:rPr>
              <w:t>Clobetasol propionate 0.05%</w:t>
            </w:r>
          </w:p>
        </w:tc>
      </w:tr>
    </w:tbl>
    <w:p>
      <w:pPr>
        <w:spacing w:after="80"/>
      </w:pPr>
    </w:p>
    <w:p>
      <w:pPr>
        <w:jc w:val="center"/>
      </w:pPr>
      <w:r>
        <w:drawing>
          <wp:inline xmlns:a="http://schemas.openxmlformats.org/drawingml/2006/main" xmlns:pic="http://schemas.openxmlformats.org/drawingml/2006/picture">
            <wp:extent cx="3840480" cy="2163470"/>
            <wp:docPr id="14" name="Picture 14"/>
            <wp:cNvGraphicFramePr>
              <a:graphicFrameLocks noChangeAspect="1"/>
            </wp:cNvGraphicFramePr>
            <a:graphic>
              <a:graphicData uri="http://schemas.openxmlformats.org/drawingml/2006/picture">
                <pic:pic>
                  <pic:nvPicPr>
                    <pic:cNvPr id="0" name="Clinical_Medicine_and_Surgery_I_Exam_1_cms-derm-staging-images_topical-steroid-ladder.jpg"/>
                    <pic:cNvPicPr/>
                  </pic:nvPicPr>
                  <pic:blipFill>
                    <a:blip r:embed="rId22"/>
                    <a:stretch>
                      <a:fillRect/>
                    </a:stretch>
                  </pic:blipFill>
                  <pic:spPr>
                    <a:xfrm>
                      <a:off x="0" y="0"/>
                      <a:ext cx="3840480" cy="2163470"/>
                    </a:xfrm>
                    <a:prstGeom prst="rect"/>
                  </pic:spPr>
                </pic:pic>
              </a:graphicData>
            </a:graphic>
          </wp:inline>
        </w:drawing>
      </w:r>
    </w:p>
    <w:p>
      <w:pPr>
        <w:spacing w:after="160"/>
        <w:jc w:val="center"/>
      </w:pPr>
      <w:r>
        <w:rPr>
          <w:sz w:val="15"/>
        </w:rPr>
        <w:t>The ladder as the deck shows it, mild at the bottom to very potent at the top, with the sites each band is appropriate for. Slide 41.</w:t>
      </w:r>
    </w:p>
    <w:p>
      <w:pPr>
        <w:pStyle w:val="Heading1"/>
        <w:spacing w:before="280" w:after="100"/>
      </w:pPr>
      <w:r>
        <w:rPr>
          <w:rFonts w:ascii="Georgia" w:hAnsi="Georgia"/>
          <w:color w:val="17494B"/>
        </w:rPr>
        <w:t>Acne vulgaris — severity to treatment</w:t>
      </w:r>
    </w:p>
    <w:p>
      <w:pPr>
        <w:spacing w:after="120"/>
      </w:pPr>
      <w:r>
        <w:rPr>
          <w:b w:val="0"/>
          <w:i w:val="0"/>
        </w:rPr>
        <w:t>Cutaneous Bacterial Infections · slides 11–13, 32–33</w:t>
      </w:r>
    </w:p>
    <w:p>
      <w:pPr>
        <w:spacing w:after="120"/>
      </w:pPr>
      <w:r>
        <w:rPr>
          <w:b w:val="0"/>
          <w:i w:val="0"/>
        </w:rPr>
        <w:t>The deck states there is “no universal classification system due to the extensive variety of clinical presentations,” then says an acne grading system may be helpful and lists what one should account for</w:t>
      </w:r>
      <w:r>
        <w:rPr>
          <w:b w:val="0"/>
          <w:i w:val="0"/>
        </w:rPr>
        <w:t xml:space="preserve"> — number of lesions, type of lesions, disease severity, anatomical sites, scarring, quality of life. </w:t>
      </w:r>
      <w:r>
        <w:rPr>
          <w:b/>
          <w:i w:val="0"/>
        </w:rPr>
        <w:t>No numbered grades appear anywhere in the deck.</w:t>
      </w:r>
      <w:r>
        <w:rPr>
          <w:b w:val="0"/>
          <w:i w:val="0"/>
        </w:rPr>
        <w:t xml:space="preserve"> Treatment is then given by severity band per the American Academy of Dermatology 2016 guideline, and those bands are the examinable ladder.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Comedonal (non-inflammatory)</w:t>
            </w:r>
          </w:p>
        </w:tc>
        <w:tc>
          <w:tcPr>
            <w:tcW w:type="dxa" w:w="5112"/>
          </w:tcPr>
          <w:p>
            <w:pPr>
              <w:spacing w:after="40"/>
            </w:pPr>
            <w:r>
              <w:rPr>
                <w:sz w:val="18"/>
              </w:rPr>
            </w:r>
            <w:r>
              <w:rPr>
                <w:b/>
                <w:i w:val="0"/>
                <w:sz w:val="18"/>
              </w:rPr>
              <w:t>Topical retinoid.</w:t>
            </w:r>
            <w:r>
              <w:rPr>
                <w:b w:val="0"/>
                <w:i w:val="0"/>
                <w:sz w:val="18"/>
              </w:rPr>
              <w:t xml:space="preserve"> If not tolerated, azelaic acid or salicylic acid.</w:t>
            </w:r>
          </w:p>
        </w:tc>
      </w:tr>
      <w:tr>
        <w:tc>
          <w:tcPr>
            <w:tcW w:type="dxa" w:w="5112"/>
          </w:tcPr>
          <w:p>
            <w:pPr>
              <w:spacing w:after="40"/>
            </w:pPr>
            <w:r>
              <w:rPr>
                <w:sz w:val="18"/>
              </w:rPr>
            </w:r>
            <w:r>
              <w:rPr>
                <w:b w:val="0"/>
                <w:i w:val="0"/>
                <w:sz w:val="18"/>
              </w:rPr>
              <w:t>Mild papulopustular / mixed</w:t>
            </w:r>
          </w:p>
        </w:tc>
        <w:tc>
          <w:tcPr>
            <w:tcW w:type="dxa" w:w="5112"/>
          </w:tcPr>
          <w:p>
            <w:pPr>
              <w:spacing w:after="40"/>
            </w:pPr>
            <w:r>
              <w:rPr>
                <w:sz w:val="18"/>
              </w:rPr>
            </w:r>
            <w:r>
              <w:rPr>
                <w:b/>
                <w:i w:val="0"/>
                <w:sz w:val="18"/>
              </w:rPr>
              <w:t>Topical antimicrobial</w:t>
            </w:r>
            <w:r>
              <w:rPr>
                <w:b w:val="0"/>
                <w:i w:val="0"/>
                <w:sz w:val="18"/>
              </w:rPr>
              <w:t xml:space="preserve"> (benzoyl peroxide alone, or with a topical antibiotic) </w:t>
            </w:r>
            <w:r>
              <w:rPr>
                <w:b/>
                <w:i w:val="0"/>
                <w:sz w:val="18"/>
              </w:rPr>
              <w:t>AND topical retinoid</w:t>
            </w:r>
            <w:r>
              <w:rPr>
                <w:b w:val="0"/>
                <w:i w:val="0"/>
                <w:sz w:val="18"/>
              </w:rPr>
              <w:t xml:space="preserve"> — or benzoyl peroxide AND a topical antibiotic if a retinoid cannot be tolerated.</w:t>
            </w:r>
          </w:p>
        </w:tc>
      </w:tr>
      <w:tr>
        <w:tc>
          <w:tcPr>
            <w:tcW w:type="dxa" w:w="5112"/>
          </w:tcPr>
          <w:p>
            <w:pPr>
              <w:spacing w:after="40"/>
            </w:pPr>
            <w:r>
              <w:rPr>
                <w:sz w:val="18"/>
              </w:rPr>
            </w:r>
            <w:r>
              <w:rPr>
                <w:b w:val="0"/>
                <w:i w:val="0"/>
                <w:sz w:val="18"/>
              </w:rPr>
              <w:t>Moderate papulopustular / mixed</w:t>
            </w:r>
          </w:p>
        </w:tc>
        <w:tc>
          <w:tcPr>
            <w:tcW w:type="dxa" w:w="5112"/>
          </w:tcPr>
          <w:p>
            <w:pPr>
              <w:spacing w:after="40"/>
            </w:pPr>
            <w:r>
              <w:rPr>
                <w:sz w:val="18"/>
              </w:rPr>
            </w:r>
            <w:r>
              <w:rPr>
                <w:b/>
                <w:i w:val="0"/>
                <w:sz w:val="18"/>
              </w:rPr>
              <w:t>Topical retinoid AND oral antibiotic AND topical benzoyl peroxide.</w:t>
            </w:r>
          </w:p>
        </w:tc>
      </w:tr>
      <w:tr>
        <w:tc>
          <w:tcPr>
            <w:tcW w:type="dxa" w:w="5112"/>
          </w:tcPr>
          <w:p>
            <w:pPr>
              <w:spacing w:after="40"/>
            </w:pPr>
            <w:r>
              <w:rPr>
                <w:sz w:val="18"/>
              </w:rPr>
            </w:r>
            <w:r>
              <w:rPr>
                <w:b w:val="0"/>
                <w:i w:val="0"/>
                <w:sz w:val="18"/>
              </w:rPr>
              <w:t>Severe (e.g. nodular)</w:t>
            </w:r>
          </w:p>
        </w:tc>
        <w:tc>
          <w:tcPr>
            <w:tcW w:type="dxa" w:w="5112"/>
          </w:tcPr>
          <w:p>
            <w:pPr>
              <w:spacing w:after="40"/>
            </w:pPr>
            <w:r>
              <w:rPr>
                <w:sz w:val="18"/>
              </w:rPr>
            </w:r>
            <w:r>
              <w:rPr>
                <w:b/>
                <w:i w:val="0"/>
                <w:sz w:val="18"/>
              </w:rPr>
              <w:t>Topical retinoid AND oral antibiotic AND topical benzoyl peroxide — OR oral isotretinoin monotherapy.</w:t>
            </w:r>
          </w:p>
        </w:tc>
      </w:tr>
    </w:tbl>
    <w:p>
      <w:pPr>
        <w:spacing w:after="80"/>
      </w:pPr>
    </w:p>
    <w:p>
      <w:pPr>
        <w:jc w:val="center"/>
      </w:pPr>
      <w:r>
        <w:drawing>
          <wp:inline xmlns:a="http://schemas.openxmlformats.org/drawingml/2006/main" xmlns:pic="http://schemas.openxmlformats.org/drawingml/2006/picture">
            <wp:extent cx="3840480" cy="1870862"/>
            <wp:docPr id="15" name="Picture 15"/>
            <wp:cNvGraphicFramePr>
              <a:graphicFrameLocks noChangeAspect="1"/>
            </wp:cNvGraphicFramePr>
            <a:graphic>
              <a:graphicData uri="http://schemas.openxmlformats.org/drawingml/2006/picture">
                <pic:pic>
                  <pic:nvPicPr>
                    <pic:cNvPr id="0" name="Clinical_Medicine_and_Surgery_I_Exam_1_cms-derm-staging-images_acne-comedonal-whiteheads-blackheads.jpg"/>
                    <pic:cNvPicPr/>
                  </pic:nvPicPr>
                  <pic:blipFill>
                    <a:blip r:embed="rId23"/>
                    <a:stretch>
                      <a:fillRect/>
                    </a:stretch>
                  </pic:blipFill>
                  <pic:spPr>
                    <a:xfrm>
                      <a:off x="0" y="0"/>
                      <a:ext cx="3840480" cy="1870862"/>
                    </a:xfrm>
                    <a:prstGeom prst="rect"/>
                  </pic:spPr>
                </pic:pic>
              </a:graphicData>
            </a:graphic>
          </wp:inline>
        </w:drawing>
      </w:r>
    </w:p>
    <w:p>
      <w:pPr>
        <w:spacing w:after="160"/>
        <w:jc w:val="center"/>
      </w:pPr>
      <w:r>
        <w:rPr>
          <w:sz w:val="15"/>
        </w:rPr>
        <w:t>Comedonal: closed comedones (whiteheads) and open comedones (blackheads). Non-inflammatory. Slide 13.</w:t>
      </w:r>
    </w:p>
    <w:p>
      <w:pPr>
        <w:jc w:val="center"/>
      </w:pPr>
      <w:r>
        <w:drawing>
          <wp:inline xmlns:a="http://schemas.openxmlformats.org/drawingml/2006/main" xmlns:pic="http://schemas.openxmlformats.org/drawingml/2006/picture">
            <wp:extent cx="3840480" cy="2825496"/>
            <wp:docPr id="16" name="Picture 16"/>
            <wp:cNvGraphicFramePr>
              <a:graphicFrameLocks noChangeAspect="1"/>
            </wp:cNvGraphicFramePr>
            <a:graphic>
              <a:graphicData uri="http://schemas.openxmlformats.org/drawingml/2006/picture">
                <pic:pic>
                  <pic:nvPicPr>
                    <pic:cNvPr id="0" name="Clinical_Medicine_and_Surgery_I_Exam_1_cms-derm-staging-images_acne-papule-pustule.jpg"/>
                    <pic:cNvPicPr/>
                  </pic:nvPicPr>
                  <pic:blipFill>
                    <a:blip r:embed="rId24"/>
                    <a:stretch>
                      <a:fillRect/>
                    </a:stretch>
                  </pic:blipFill>
                  <pic:spPr>
                    <a:xfrm>
                      <a:off x="0" y="0"/>
                      <a:ext cx="3840480" cy="2825496"/>
                    </a:xfrm>
                    <a:prstGeom prst="rect"/>
                  </pic:spPr>
                </pic:pic>
              </a:graphicData>
            </a:graphic>
          </wp:inline>
        </w:drawing>
      </w:r>
    </w:p>
    <w:p>
      <w:pPr>
        <w:spacing w:after="160"/>
        <w:jc w:val="center"/>
      </w:pPr>
      <w:r>
        <w:rPr>
          <w:sz w:val="15"/>
        </w:rPr>
        <w:t>The deck's labeled papule and pustule — the inflammatory lesions that move a patient off the comedonal rung. Slide 11.</w:t>
      </w:r>
    </w:p>
    <w:p>
      <w:pPr>
        <w:jc w:val="center"/>
      </w:pPr>
      <w:r>
        <w:drawing>
          <wp:inline xmlns:a="http://schemas.openxmlformats.org/drawingml/2006/main" xmlns:pic="http://schemas.openxmlformats.org/drawingml/2006/picture">
            <wp:extent cx="3840480" cy="2606040"/>
            <wp:docPr id="17" name="Picture 17"/>
            <wp:cNvGraphicFramePr>
              <a:graphicFrameLocks noChangeAspect="1"/>
            </wp:cNvGraphicFramePr>
            <a:graphic>
              <a:graphicData uri="http://schemas.openxmlformats.org/drawingml/2006/picture">
                <pic:pic>
                  <pic:nvPicPr>
                    <pic:cNvPr id="0" name="Clinical_Medicine_and_Surgery_I_Exam_1_cms-derm-staging-images_acne-severe-nodular.jpg"/>
                    <pic:cNvPicPr/>
                  </pic:nvPicPr>
                  <pic:blipFill>
                    <a:blip r:embed="rId25"/>
                    <a:stretch>
                      <a:fillRect/>
                    </a:stretch>
                  </pic:blipFill>
                  <pic:spPr>
                    <a:xfrm>
                      <a:off x="0" y="0"/>
                      <a:ext cx="3840480" cy="2606040"/>
                    </a:xfrm>
                    <a:prstGeom prst="rect"/>
                  </pic:spPr>
                </pic:pic>
              </a:graphicData>
            </a:graphic>
          </wp:inline>
        </w:drawing>
      </w:r>
    </w:p>
    <w:p>
      <w:pPr>
        <w:spacing w:after="160"/>
        <w:jc w:val="center"/>
      </w:pPr>
      <w:r>
        <w:rPr>
          <w:sz w:val="15"/>
        </w:rPr>
        <w:t>Severe inflammatory and nodular disease, the band where isotretinoin monotherapy becomes an option. Slide 13.</w:t>
      </w:r>
    </w:p>
    <w:p>
      <w:pPr>
        <w:pStyle w:val="Heading1"/>
        <w:spacing w:before="280" w:after="100"/>
      </w:pPr>
      <w:r>
        <w:rPr>
          <w:rFonts w:ascii="Georgia" w:hAnsi="Georgia"/>
          <w:color w:val="17494B"/>
        </w:rPr>
        <w:t>Melanoma — Clark level (anatomic depth)</w:t>
      </w:r>
    </w:p>
    <w:p>
      <w:pPr>
        <w:spacing w:after="120"/>
      </w:pPr>
      <w:r>
        <w:rPr>
          <w:b w:val="0"/>
          <w:i w:val="0"/>
        </w:rPr>
        <w:t>Pre-malignant &amp; Malignant · slide 50</w:t>
      </w:r>
    </w:p>
    <w:p>
      <w:pPr>
        <w:spacing w:after="120"/>
      </w:pPr>
      <w:r>
        <w:rPr>
          <w:b/>
          <w:i w:val="0"/>
        </w:rPr>
        <w:t>This slide is a figure with no text at all</w:t>
      </w:r>
      <w:r>
        <w:rPr>
          <w:b w:val="0"/>
          <w:i w:val="0"/>
        </w:rPr>
        <w:t xml:space="preserve">, so the levels below are read off the diagram's own anatomy. The level of invasion, conventionally called the Clark level, grades melanoma by </w:t>
      </w:r>
      <w:r>
        <w:rPr>
          <w:b/>
          <w:i w:val="0"/>
        </w:rPr>
        <w:t>which layer of skin it has reached</w:t>
      </w:r>
      <w:r>
        <w:rPr>
          <w:b w:val="0"/>
          <w:i w:val="0"/>
        </w:rPr>
        <w:t xml:space="preserve">. </w:t>
      </w:r>
      <w:r>
        <w:rPr>
          <w:b w:val="0"/>
          <w:i w:val="0"/>
        </w:rPr>
        <w:t>It has largely been superseded by Breslow thickness, which is the deck's stated dominant prognostic variable</w:t>
      </w:r>
      <w:r>
        <w:rPr>
          <w:b w:val="0"/>
          <w:i w:val="0"/>
        </w:rPr>
        <w:t xml:space="preserve"> — but Clark levels still appear on pathology reports, so the ladder is worth recognizing.</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Level I</w:t>
            </w:r>
          </w:p>
        </w:tc>
        <w:tc>
          <w:tcPr>
            <w:tcW w:type="dxa" w:w="5112"/>
          </w:tcPr>
          <w:p>
            <w:pPr>
              <w:spacing w:after="40"/>
            </w:pPr>
            <w:r>
              <w:rPr>
                <w:sz w:val="18"/>
              </w:rPr>
            </w:r>
            <w:r>
              <w:rPr>
                <w:b w:val="0"/>
                <w:i w:val="0"/>
                <w:sz w:val="18"/>
              </w:rPr>
              <w:t xml:space="preserve">Confined to the </w:t>
            </w:r>
            <w:r>
              <w:rPr>
                <w:b/>
                <w:i w:val="0"/>
                <w:sz w:val="18"/>
              </w:rPr>
              <w:t>epidermis</w:t>
            </w:r>
            <w:r>
              <w:rPr>
                <w:b w:val="0"/>
                <w:i w:val="0"/>
                <w:sz w:val="18"/>
              </w:rPr>
              <w:t>, above the basement membrane — melanoma in situ.</w:t>
            </w:r>
          </w:p>
        </w:tc>
      </w:tr>
      <w:tr>
        <w:tc>
          <w:tcPr>
            <w:tcW w:type="dxa" w:w="5112"/>
          </w:tcPr>
          <w:p>
            <w:pPr>
              <w:spacing w:after="40"/>
            </w:pPr>
            <w:r>
              <w:rPr>
                <w:sz w:val="18"/>
              </w:rPr>
            </w:r>
            <w:r>
              <w:rPr>
                <w:b w:val="0"/>
                <w:i w:val="0"/>
                <w:sz w:val="18"/>
              </w:rPr>
              <w:t>Level II</w:t>
            </w:r>
          </w:p>
        </w:tc>
        <w:tc>
          <w:tcPr>
            <w:tcW w:type="dxa" w:w="5112"/>
          </w:tcPr>
          <w:p>
            <w:pPr>
              <w:spacing w:after="40"/>
            </w:pPr>
            <w:r>
              <w:rPr>
                <w:sz w:val="18"/>
              </w:rPr>
            </w:r>
            <w:r>
              <w:rPr>
                <w:b w:val="0"/>
                <w:i w:val="0"/>
                <w:sz w:val="18"/>
              </w:rPr>
              <w:t xml:space="preserve">Invades into the </w:t>
            </w:r>
            <w:r>
              <w:rPr>
                <w:b/>
                <w:i w:val="0"/>
                <w:sz w:val="18"/>
              </w:rPr>
              <w:t>papillary dermis</w:t>
            </w:r>
            <w:r>
              <w:rPr>
                <w:b w:val="0"/>
                <w:i w:val="0"/>
                <w:sz w:val="18"/>
              </w:rPr>
              <w:t>.</w:t>
            </w:r>
          </w:p>
        </w:tc>
      </w:tr>
      <w:tr>
        <w:tc>
          <w:tcPr>
            <w:tcW w:type="dxa" w:w="5112"/>
          </w:tcPr>
          <w:p>
            <w:pPr>
              <w:spacing w:after="40"/>
            </w:pPr>
            <w:r>
              <w:rPr>
                <w:sz w:val="18"/>
              </w:rPr>
            </w:r>
            <w:r>
              <w:rPr>
                <w:b w:val="0"/>
                <w:i w:val="0"/>
                <w:sz w:val="18"/>
              </w:rPr>
              <w:t>Level III</w:t>
            </w:r>
          </w:p>
        </w:tc>
        <w:tc>
          <w:tcPr>
            <w:tcW w:type="dxa" w:w="5112"/>
          </w:tcPr>
          <w:p>
            <w:pPr>
              <w:spacing w:after="40"/>
            </w:pPr>
            <w:r>
              <w:rPr>
                <w:sz w:val="18"/>
              </w:rPr>
            </w:r>
            <w:r>
              <w:rPr>
                <w:b/>
                <w:i w:val="0"/>
                <w:sz w:val="18"/>
              </w:rPr>
              <w:t>Fills and expands the papillary dermis</w:t>
            </w:r>
            <w:r>
              <w:rPr>
                <w:b w:val="0"/>
                <w:i w:val="0"/>
                <w:sz w:val="18"/>
              </w:rPr>
              <w:t>, down to the papillary–reticular interface.</w:t>
            </w:r>
          </w:p>
        </w:tc>
      </w:tr>
      <w:tr>
        <w:tc>
          <w:tcPr>
            <w:tcW w:type="dxa" w:w="5112"/>
          </w:tcPr>
          <w:p>
            <w:pPr>
              <w:spacing w:after="40"/>
            </w:pPr>
            <w:r>
              <w:rPr>
                <w:sz w:val="18"/>
              </w:rPr>
            </w:r>
            <w:r>
              <w:rPr>
                <w:b w:val="0"/>
                <w:i w:val="0"/>
                <w:sz w:val="18"/>
              </w:rPr>
              <w:t>Level IV</w:t>
            </w:r>
          </w:p>
        </w:tc>
        <w:tc>
          <w:tcPr>
            <w:tcW w:type="dxa" w:w="5112"/>
          </w:tcPr>
          <w:p>
            <w:pPr>
              <w:spacing w:after="40"/>
            </w:pPr>
            <w:r>
              <w:rPr>
                <w:sz w:val="18"/>
              </w:rPr>
            </w:r>
            <w:r>
              <w:rPr>
                <w:b w:val="0"/>
                <w:i w:val="0"/>
                <w:sz w:val="18"/>
              </w:rPr>
              <w:t xml:space="preserve">Invades the </w:t>
            </w:r>
            <w:r>
              <w:rPr>
                <w:b/>
                <w:i w:val="0"/>
                <w:sz w:val="18"/>
              </w:rPr>
              <w:t>reticular dermis</w:t>
            </w:r>
            <w:r>
              <w:rPr>
                <w:b w:val="0"/>
                <w:i w:val="0"/>
                <w:sz w:val="18"/>
              </w:rPr>
              <w:t>.</w:t>
            </w:r>
          </w:p>
        </w:tc>
      </w:tr>
      <w:tr>
        <w:tc>
          <w:tcPr>
            <w:tcW w:type="dxa" w:w="5112"/>
          </w:tcPr>
          <w:p>
            <w:pPr>
              <w:spacing w:after="40"/>
            </w:pPr>
            <w:r>
              <w:rPr>
                <w:sz w:val="18"/>
              </w:rPr>
            </w:r>
            <w:r>
              <w:rPr>
                <w:b w:val="0"/>
                <w:i w:val="0"/>
                <w:sz w:val="18"/>
              </w:rPr>
              <w:t>Level V</w:t>
            </w:r>
          </w:p>
        </w:tc>
        <w:tc>
          <w:tcPr>
            <w:tcW w:type="dxa" w:w="5112"/>
          </w:tcPr>
          <w:p>
            <w:pPr>
              <w:spacing w:after="40"/>
            </w:pPr>
            <w:r>
              <w:rPr>
                <w:sz w:val="18"/>
              </w:rPr>
            </w:r>
            <w:r>
              <w:rPr>
                <w:b w:val="0"/>
                <w:i w:val="0"/>
                <w:sz w:val="18"/>
              </w:rPr>
              <w:t xml:space="preserve">Invades the </w:t>
            </w:r>
            <w:r>
              <w:rPr>
                <w:b/>
                <w:i w:val="0"/>
                <w:sz w:val="18"/>
              </w:rPr>
              <w:t>subcutaneous tissue</w:t>
            </w:r>
            <w:r>
              <w:rPr>
                <w:b w:val="0"/>
                <w:i w:val="0"/>
                <w:sz w:val="18"/>
              </w:rPr>
              <w:t>.</w:t>
            </w:r>
          </w:p>
        </w:tc>
      </w:tr>
    </w:tbl>
    <w:p>
      <w:pPr>
        <w:spacing w:after="80"/>
      </w:pPr>
    </w:p>
    <w:p>
      <w:pPr>
        <w:jc w:val="center"/>
      </w:pPr>
      <w:r>
        <w:drawing>
          <wp:inline xmlns:a="http://schemas.openxmlformats.org/drawingml/2006/main" xmlns:pic="http://schemas.openxmlformats.org/drawingml/2006/picture">
            <wp:extent cx="3840480" cy="2159203"/>
            <wp:docPr id="18" name="Picture 18"/>
            <wp:cNvGraphicFramePr>
              <a:graphicFrameLocks noChangeAspect="1"/>
            </wp:cNvGraphicFramePr>
            <a:graphic>
              <a:graphicData uri="http://schemas.openxmlformats.org/drawingml/2006/picture">
                <pic:pic>
                  <pic:nvPicPr>
                    <pic:cNvPr id="0" name="Clinical_Medicine_and_Surgery_I_Exam_1_cms-derm-staging-images_melanoma-clark-levels.jpg"/>
                    <pic:cNvPicPr/>
                  </pic:nvPicPr>
                  <pic:blipFill>
                    <a:blip r:embed="rId26"/>
                    <a:stretch>
                      <a:fillRect/>
                    </a:stretch>
                  </pic:blipFill>
                  <pic:spPr>
                    <a:xfrm>
                      <a:off x="0" y="0"/>
                      <a:ext cx="3840480" cy="2159203"/>
                    </a:xfrm>
                    <a:prstGeom prst="rect"/>
                  </pic:spPr>
                </pic:pic>
              </a:graphicData>
            </a:graphic>
          </wp:inline>
        </w:drawing>
      </w:r>
    </w:p>
    <w:p>
      <w:pPr>
        <w:spacing w:after="160"/>
        <w:jc w:val="center"/>
      </w:pPr>
      <w:r>
        <w:rPr>
          <w:sz w:val="15"/>
        </w:rPr>
        <w:t>Levels I–V against epidermis, papillary dermis, reticular dermis and subcutaneous tissue. Slide 50 — the entire slide is this image.</w:t>
      </w:r>
    </w:p>
    <w:p>
      <w:pPr>
        <w:pStyle w:val="Heading1"/>
        <w:spacing w:before="280" w:after="100"/>
      </w:pPr>
      <w:r>
        <w:rPr>
          <w:rFonts w:ascii="Georgia" w:hAnsi="Georgia"/>
          <w:color w:val="17494B"/>
        </w:rPr>
        <w:t>Melanoma — Breslow thickness thresholds</w:t>
      </w:r>
    </w:p>
    <w:p>
      <w:pPr>
        <w:spacing w:after="120"/>
      </w:pPr>
      <w:r>
        <w:rPr>
          <w:b w:val="0"/>
          <w:i w:val="0"/>
        </w:rPr>
        <w:t>Pre-malignant &amp; Malignant · slides 51–52, 55</w:t>
      </w:r>
    </w:p>
    <w:p>
      <w:pPr>
        <w:spacing w:after="120"/>
      </w:pPr>
      <w:r>
        <w:rPr>
          <w:b/>
          <w:i w:val="0"/>
        </w:rPr>
        <w:t>Breslow thickness is the dominant prognostic variable</w:t>
      </w:r>
      <w:r>
        <w:rPr>
          <w:b w:val="0"/>
          <w:i w:val="0"/>
        </w:rPr>
        <w:t xml:space="preserve"> and must be measured accurately on the initial biopsy — which is why a shave that transects the base compromises staging. Ulceration and mitotic rate modify stage-based prognosis.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Re-excision — in situ</w:t>
            </w:r>
          </w:p>
        </w:tc>
        <w:tc>
          <w:tcPr>
            <w:tcW w:type="dxa" w:w="5112"/>
          </w:tcPr>
          <w:p>
            <w:pPr>
              <w:spacing w:after="40"/>
            </w:pPr>
            <w:r>
              <w:rPr>
                <w:sz w:val="18"/>
              </w:rPr>
            </w:r>
            <w:r>
              <w:rPr>
                <w:b/>
                <w:i w:val="0"/>
                <w:sz w:val="18"/>
              </w:rPr>
              <w:t>0.5–1 cm</w:t>
            </w:r>
            <w:r>
              <w:rPr>
                <w:b w:val="0"/>
                <w:i w:val="0"/>
                <w:sz w:val="18"/>
              </w:rPr>
              <w:t xml:space="preserve"> margin</w:t>
            </w:r>
          </w:p>
        </w:tc>
      </w:tr>
      <w:tr>
        <w:tc>
          <w:tcPr>
            <w:tcW w:type="dxa" w:w="5112"/>
          </w:tcPr>
          <w:p>
            <w:pPr>
              <w:spacing w:after="40"/>
            </w:pPr>
            <w:r>
              <w:rPr>
                <w:sz w:val="18"/>
              </w:rPr>
            </w:r>
            <w:r>
              <w:rPr>
                <w:b w:val="0"/>
                <w:i w:val="0"/>
                <w:sz w:val="18"/>
              </w:rPr>
              <w:t>Re-excision — under 1 mm</w:t>
            </w:r>
          </w:p>
        </w:tc>
        <w:tc>
          <w:tcPr>
            <w:tcW w:type="dxa" w:w="5112"/>
          </w:tcPr>
          <w:p>
            <w:pPr>
              <w:spacing w:after="40"/>
            </w:pPr>
            <w:r>
              <w:rPr>
                <w:sz w:val="18"/>
              </w:rPr>
            </w:r>
            <w:r>
              <w:rPr>
                <w:b/>
                <w:i w:val="0"/>
                <w:sz w:val="18"/>
              </w:rPr>
              <w:t>1 cm</w:t>
            </w:r>
            <w:r>
              <w:rPr>
                <w:b w:val="0"/>
                <w:i w:val="0"/>
                <w:sz w:val="18"/>
              </w:rPr>
              <w:t xml:space="preserve"> margin</w:t>
            </w:r>
          </w:p>
        </w:tc>
      </w:tr>
      <w:tr>
        <w:tc>
          <w:tcPr>
            <w:tcW w:type="dxa" w:w="5112"/>
          </w:tcPr>
          <w:p>
            <w:pPr>
              <w:spacing w:after="40"/>
            </w:pPr>
            <w:r>
              <w:rPr>
                <w:sz w:val="18"/>
              </w:rPr>
            </w:r>
            <w:r>
              <w:rPr>
                <w:b w:val="0"/>
                <w:i w:val="0"/>
                <w:sz w:val="18"/>
              </w:rPr>
              <w:t>Re-excision — over 1 mm</w:t>
            </w:r>
          </w:p>
        </w:tc>
        <w:tc>
          <w:tcPr>
            <w:tcW w:type="dxa" w:w="5112"/>
          </w:tcPr>
          <w:p>
            <w:pPr>
              <w:spacing w:after="40"/>
            </w:pPr>
            <w:r>
              <w:rPr>
                <w:sz w:val="18"/>
              </w:rPr>
            </w:r>
            <w:r>
              <w:rPr>
                <w:b/>
                <w:i w:val="0"/>
                <w:sz w:val="18"/>
              </w:rPr>
              <w:t>1–2 cm</w:t>
            </w:r>
            <w:r>
              <w:rPr>
                <w:b w:val="0"/>
                <w:i w:val="0"/>
                <w:sz w:val="18"/>
              </w:rPr>
              <w:t xml:space="preserve"> margin</w:t>
            </w:r>
          </w:p>
        </w:tc>
      </w:tr>
      <w:tr>
        <w:tc>
          <w:tcPr>
            <w:tcW w:type="dxa" w:w="5112"/>
          </w:tcPr>
          <w:p>
            <w:pPr>
              <w:spacing w:after="40"/>
            </w:pPr>
            <w:r>
              <w:rPr>
                <w:sz w:val="18"/>
              </w:rPr>
            </w:r>
            <w:r>
              <w:rPr>
                <w:b w:val="0"/>
                <w:i w:val="0"/>
                <w:sz w:val="18"/>
              </w:rPr>
              <w:t>Sentinel lymph node biopsy</w:t>
            </w:r>
          </w:p>
        </w:tc>
        <w:tc>
          <w:tcPr>
            <w:tcW w:type="dxa" w:w="5112"/>
          </w:tcPr>
          <w:p>
            <w:pPr>
              <w:spacing w:after="40"/>
            </w:pPr>
            <w:r>
              <w:rPr>
                <w:sz w:val="18"/>
              </w:rPr>
            </w:r>
            <w:r>
              <w:rPr>
                <w:b w:val="0"/>
                <w:i w:val="0"/>
                <w:sz w:val="18"/>
              </w:rPr>
              <w:t xml:space="preserve">Offered or discussed at </w:t>
            </w:r>
            <w:r>
              <w:rPr>
                <w:b/>
                <w:i w:val="0"/>
                <w:sz w:val="18"/>
              </w:rPr>
              <w:t>≥1.0 mm</w:t>
            </w:r>
            <w:r>
              <w:rPr>
                <w:b w:val="0"/>
                <w:i w:val="0"/>
                <w:sz w:val="18"/>
              </w:rPr>
              <w:t xml:space="preserve"> Breslow thickness, </w:t>
            </w:r>
            <w:r>
              <w:rPr>
                <w:b/>
                <w:i w:val="0"/>
                <w:sz w:val="18"/>
              </w:rPr>
              <w:t>or ≥0.8 mm with additional histologic risk factors</w:t>
            </w:r>
            <w:r>
              <w:rPr>
                <w:b w:val="0"/>
                <w:i w:val="0"/>
                <w:sz w:val="18"/>
              </w:rPr>
              <w:t xml:space="preserve"> (ulceration, high mitotic rate, lymphovascular invasion). It is a </w:t>
            </w:r>
            <w:r>
              <w:rPr>
                <w:b/>
                <w:i w:val="0"/>
                <w:sz w:val="18"/>
              </w:rPr>
              <w:t>staging</w:t>
            </w:r>
            <w:r>
              <w:rPr>
                <w:b w:val="0"/>
                <w:i w:val="0"/>
                <w:sz w:val="18"/>
              </w:rPr>
              <w:t xml:space="preserve"> procedure.</w:t>
            </w:r>
          </w:p>
        </w:tc>
      </w:tr>
      <w:tr>
        <w:tc>
          <w:tcPr>
            <w:tcW w:type="dxa" w:w="5112"/>
          </w:tcPr>
          <w:p>
            <w:pPr>
              <w:spacing w:after="40"/>
            </w:pPr>
            <w:r>
              <w:rPr>
                <w:sz w:val="18"/>
              </w:rPr>
            </w:r>
            <w:r>
              <w:rPr>
                <w:b w:val="0"/>
                <w:i w:val="0"/>
                <w:sz w:val="18"/>
              </w:rPr>
              <w:t>Expert-center referral</w:t>
            </w:r>
          </w:p>
        </w:tc>
        <w:tc>
          <w:tcPr>
            <w:tcW w:type="dxa" w:w="5112"/>
          </w:tcPr>
          <w:p>
            <w:pPr>
              <w:spacing w:after="40"/>
            </w:pPr>
            <w:r>
              <w:rPr>
                <w:sz w:val="18"/>
              </w:rPr>
            </w:r>
            <w:r>
              <w:rPr>
                <w:b w:val="0"/>
                <w:i w:val="0"/>
                <w:sz w:val="18"/>
              </w:rPr>
              <w:t xml:space="preserve">Melanoma </w:t>
            </w:r>
            <w:r>
              <w:rPr>
                <w:b/>
                <w:i w:val="0"/>
                <w:sz w:val="18"/>
              </w:rPr>
              <w:t>deeper than 1 mm</w:t>
            </w:r>
            <w:r>
              <w:rPr>
                <w:b w:val="0"/>
                <w:i w:val="0"/>
                <w:sz w:val="18"/>
              </w:rPr>
              <w:t>, or with lymph-node or other-site spread.</w:t>
            </w:r>
          </w:p>
        </w:tc>
      </w:tr>
    </w:tbl>
    <w:p>
      <w:pPr>
        <w:spacing w:after="80"/>
      </w:pPr>
    </w:p>
    <w:p>
      <w:pPr>
        <w:jc w:val="center"/>
      </w:pPr>
      <w:r>
        <w:drawing>
          <wp:inline xmlns:a="http://schemas.openxmlformats.org/drawingml/2006/main" xmlns:pic="http://schemas.openxmlformats.org/drawingml/2006/picture">
            <wp:extent cx="3840480" cy="2150669"/>
            <wp:docPr id="19" name="Picture 19"/>
            <wp:cNvGraphicFramePr>
              <a:graphicFrameLocks noChangeAspect="1"/>
            </wp:cNvGraphicFramePr>
            <a:graphic>
              <a:graphicData uri="http://schemas.openxmlformats.org/drawingml/2006/picture">
                <pic:pic>
                  <pic:nvPicPr>
                    <pic:cNvPr id="0" name="Clinical_Medicine_and_Surgery_I_Exam_1_cms-derm-staging-images_melanoma-survival-by-breslow.jpg"/>
                    <pic:cNvPicPr/>
                  </pic:nvPicPr>
                  <pic:blipFill>
                    <a:blip r:embed="rId27"/>
                    <a:stretch>
                      <a:fillRect/>
                    </a:stretch>
                  </pic:blipFill>
                  <pic:spPr>
                    <a:xfrm>
                      <a:off x="0" y="0"/>
                      <a:ext cx="3840480" cy="2150669"/>
                    </a:xfrm>
                    <a:prstGeom prst="rect"/>
                  </pic:spPr>
                </pic:pic>
              </a:graphicData>
            </a:graphic>
          </wp:inline>
        </w:drawing>
      </w:r>
    </w:p>
    <w:p>
      <w:pPr>
        <w:spacing w:after="160"/>
        <w:jc w:val="center"/>
      </w:pPr>
      <w:r>
        <w:rPr>
          <w:sz w:val="15"/>
        </w:rPr>
        <w:t>Five-year survival falling across the same thickness bands, then again with nodal and disseminated disease. Slide 55.</w:t>
      </w:r>
    </w:p>
    <w:p>
      <w:pPr>
        <w:pStyle w:val="Heading1"/>
        <w:spacing w:before="280" w:after="100"/>
      </w:pPr>
      <w:r>
        <w:rPr>
          <w:rFonts w:ascii="Georgia" w:hAnsi="Georgia"/>
          <w:color w:val="17494B"/>
        </w:rPr>
        <w:t>Melanoma — overall stage 0 to IV</w:t>
      </w:r>
    </w:p>
    <w:p>
      <w:pPr>
        <w:spacing w:after="120"/>
      </w:pPr>
      <w:r>
        <w:rPr>
          <w:b w:val="0"/>
          <w:i w:val="0"/>
        </w:rPr>
        <w:t>Pre-malignant &amp; Malignant · slide 53</w:t>
      </w:r>
    </w:p>
    <w:p>
      <w:pPr>
        <w:spacing w:after="120"/>
      </w:pPr>
      <w:r>
        <w:rPr>
          <w:b/>
          <w:i w:val="0"/>
        </w:rPr>
        <w:t>Another slide that is nothing but a picture.</w:t>
      </w:r>
      <w:r>
        <w:rPr>
          <w:b w:val="0"/>
          <w:i w:val="0"/>
        </w:rPr>
        <w:t xml:space="preserve"> This is the plain-language version of the staging table below it: thickness carries you from 0 to II, and </w:t>
      </w:r>
      <w:r>
        <w:rPr>
          <w:b/>
          <w:i w:val="0"/>
        </w:rPr>
        <w:t>spread</w:t>
      </w:r>
      <w:r>
        <w:rPr>
          <w:b w:val="0"/>
          <w:i w:val="0"/>
        </w:rPr>
        <w:t xml:space="preserve"> is what makes it III or IV.</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Stage 0</w:t>
            </w:r>
          </w:p>
        </w:tc>
        <w:tc>
          <w:tcPr>
            <w:tcW w:type="dxa" w:w="5112"/>
          </w:tcPr>
          <w:p>
            <w:pPr>
              <w:spacing w:after="40"/>
            </w:pPr>
            <w:r>
              <w:rPr>
                <w:sz w:val="18"/>
              </w:rPr>
            </w:r>
            <w:r>
              <w:rPr>
                <w:b w:val="0"/>
                <w:i w:val="0"/>
                <w:sz w:val="18"/>
              </w:rPr>
              <w:t>“Melanoma confined to epidermal region of skin.”</w:t>
            </w:r>
          </w:p>
        </w:tc>
      </w:tr>
      <w:tr>
        <w:tc>
          <w:tcPr>
            <w:tcW w:type="dxa" w:w="5112"/>
          </w:tcPr>
          <w:p>
            <w:pPr>
              <w:spacing w:after="40"/>
            </w:pPr>
            <w:r>
              <w:rPr>
                <w:sz w:val="18"/>
              </w:rPr>
            </w:r>
            <w:r>
              <w:rPr>
                <w:b w:val="0"/>
                <w:i w:val="0"/>
                <w:sz w:val="18"/>
              </w:rPr>
              <w:t>Stage I</w:t>
            </w:r>
          </w:p>
        </w:tc>
        <w:tc>
          <w:tcPr>
            <w:tcW w:type="dxa" w:w="5112"/>
          </w:tcPr>
          <w:p>
            <w:pPr>
              <w:spacing w:after="40"/>
            </w:pPr>
            <w:r>
              <w:rPr>
                <w:sz w:val="18"/>
              </w:rPr>
            </w:r>
            <w:r>
              <w:rPr>
                <w:b w:val="0"/>
                <w:i w:val="0"/>
                <w:sz w:val="18"/>
              </w:rPr>
              <w:t>“Localized disease, only in skin and very thin.”</w:t>
            </w:r>
          </w:p>
        </w:tc>
      </w:tr>
      <w:tr>
        <w:tc>
          <w:tcPr>
            <w:tcW w:type="dxa" w:w="5112"/>
          </w:tcPr>
          <w:p>
            <w:pPr>
              <w:spacing w:after="40"/>
            </w:pPr>
            <w:r>
              <w:rPr>
                <w:sz w:val="18"/>
              </w:rPr>
            </w:r>
            <w:r>
              <w:rPr>
                <w:b w:val="0"/>
                <w:i w:val="0"/>
                <w:sz w:val="18"/>
              </w:rPr>
              <w:t>Stage II</w:t>
            </w:r>
          </w:p>
        </w:tc>
        <w:tc>
          <w:tcPr>
            <w:tcW w:type="dxa" w:w="5112"/>
          </w:tcPr>
          <w:p>
            <w:pPr>
              <w:spacing w:after="40"/>
            </w:pPr>
            <w:r>
              <w:rPr>
                <w:sz w:val="18"/>
              </w:rPr>
            </w:r>
            <w:r>
              <w:rPr>
                <w:b w:val="0"/>
                <w:i w:val="0"/>
                <w:sz w:val="18"/>
              </w:rPr>
              <w:t>“Localized disease, thicker than Stage I.”</w:t>
            </w:r>
          </w:p>
        </w:tc>
      </w:tr>
      <w:tr>
        <w:tc>
          <w:tcPr>
            <w:tcW w:type="dxa" w:w="5112"/>
          </w:tcPr>
          <w:p>
            <w:pPr>
              <w:spacing w:after="40"/>
            </w:pPr>
            <w:r>
              <w:rPr>
                <w:sz w:val="18"/>
              </w:rPr>
            </w:r>
            <w:r>
              <w:rPr>
                <w:b w:val="0"/>
                <w:i w:val="0"/>
                <w:sz w:val="18"/>
              </w:rPr>
              <w:t>Stage III</w:t>
            </w:r>
          </w:p>
        </w:tc>
        <w:tc>
          <w:tcPr>
            <w:tcW w:type="dxa" w:w="5112"/>
          </w:tcPr>
          <w:p>
            <w:pPr>
              <w:spacing w:after="40"/>
            </w:pPr>
            <w:r>
              <w:rPr>
                <w:sz w:val="18"/>
              </w:rPr>
            </w:r>
            <w:r>
              <w:rPr>
                <w:b w:val="0"/>
                <w:i w:val="0"/>
                <w:sz w:val="18"/>
              </w:rPr>
              <w:t>“Spread to lymph nodes.”</w:t>
            </w:r>
          </w:p>
        </w:tc>
      </w:tr>
      <w:tr>
        <w:tc>
          <w:tcPr>
            <w:tcW w:type="dxa" w:w="5112"/>
          </w:tcPr>
          <w:p>
            <w:pPr>
              <w:spacing w:after="40"/>
            </w:pPr>
            <w:r>
              <w:rPr>
                <w:sz w:val="18"/>
              </w:rPr>
            </w:r>
            <w:r>
              <w:rPr>
                <w:b w:val="0"/>
                <w:i w:val="0"/>
                <w:sz w:val="18"/>
              </w:rPr>
              <w:t>Stage IV</w:t>
            </w:r>
          </w:p>
        </w:tc>
        <w:tc>
          <w:tcPr>
            <w:tcW w:type="dxa" w:w="5112"/>
          </w:tcPr>
          <w:p>
            <w:pPr>
              <w:spacing w:after="40"/>
            </w:pPr>
            <w:r>
              <w:rPr>
                <w:sz w:val="18"/>
              </w:rPr>
            </w:r>
            <w:r>
              <w:rPr>
                <w:b w:val="0"/>
                <w:i w:val="0"/>
                <w:sz w:val="18"/>
              </w:rPr>
              <w:t>“Spread to other organs.”</w:t>
            </w:r>
          </w:p>
        </w:tc>
      </w:tr>
    </w:tbl>
    <w:p>
      <w:pPr>
        <w:spacing w:after="80"/>
      </w:pPr>
    </w:p>
    <w:p>
      <w:pPr>
        <w:jc w:val="center"/>
      </w:pPr>
      <w:r>
        <w:drawing>
          <wp:inline xmlns:a="http://schemas.openxmlformats.org/drawingml/2006/main" xmlns:pic="http://schemas.openxmlformats.org/drawingml/2006/picture">
            <wp:extent cx="3840480" cy="2163470"/>
            <wp:docPr id="20" name="Picture 20"/>
            <wp:cNvGraphicFramePr>
              <a:graphicFrameLocks noChangeAspect="1"/>
            </wp:cNvGraphicFramePr>
            <a:graphic>
              <a:graphicData uri="http://schemas.openxmlformats.org/drawingml/2006/picture">
                <pic:pic>
                  <pic:nvPicPr>
                    <pic:cNvPr id="0" name="Clinical_Medicine_and_Surgery_I_Exam_1_cms-derm-staging-images_melanoma-stages-0-4.jpg"/>
                    <pic:cNvPicPr/>
                  </pic:nvPicPr>
                  <pic:blipFill>
                    <a:blip r:embed="rId28"/>
                    <a:stretch>
                      <a:fillRect/>
                    </a:stretch>
                  </pic:blipFill>
                  <pic:spPr>
                    <a:xfrm>
                      <a:off x="0" y="0"/>
                      <a:ext cx="3840480" cy="2163470"/>
                    </a:xfrm>
                    <a:prstGeom prst="rect"/>
                  </pic:spPr>
                </pic:pic>
              </a:graphicData>
            </a:graphic>
          </wp:inline>
        </w:drawing>
      </w:r>
    </w:p>
    <w:p>
      <w:pPr>
        <w:spacing w:after="160"/>
        <w:jc w:val="center"/>
      </w:pPr>
      <w:r>
        <w:rPr>
          <w:sz w:val="15"/>
        </w:rPr>
        <w:t>Stages 0 through IV drawn against epidermis, dermis and subcutaneous tissue. Slide 53, image-only. The stage captions above are quoted from this figure.</w:t>
      </w:r>
    </w:p>
    <w:p>
      <w:pPr>
        <w:pStyle w:val="Heading1"/>
        <w:spacing w:before="280" w:after="100"/>
      </w:pPr>
      <w:r>
        <w:rPr>
          <w:rFonts w:ascii="Georgia" w:hAnsi="Georgia"/>
          <w:color w:val="17494B"/>
        </w:rPr>
        <w:t>Melanoma — TNM staging table</w:t>
      </w:r>
    </w:p>
    <w:p>
      <w:pPr>
        <w:spacing w:after="120"/>
      </w:pPr>
      <w:r>
        <w:rPr>
          <w:b w:val="0"/>
          <w:i w:val="0"/>
        </w:rPr>
        <w:t>Pre-malignant &amp; Malignant · slide 54</w:t>
      </w:r>
    </w:p>
    <w:p>
      <w:pPr>
        <w:spacing w:after="120"/>
      </w:pPr>
      <w:r>
        <w:rPr>
          <w:b/>
          <w:i w:val="0"/>
        </w:rPr>
        <w:t>Image-only slide, transcribed.</w:t>
      </w:r>
      <w:r>
        <w:rPr>
          <w:b w:val="0"/>
          <w:i w:val="0"/>
        </w:rPr>
        <w:t xml:space="preserve"> In this table </w:t>
      </w:r>
      <w:r>
        <w:rPr>
          <w:b/>
          <w:i w:val="0"/>
        </w:rPr>
        <w:t>T</w:t>
      </w:r>
      <w:r>
        <w:rPr>
          <w:b w:val="0"/>
          <w:i w:val="0"/>
        </w:rPr>
        <w:t xml:space="preserve"> is primary tumor thickness, </w:t>
      </w:r>
      <w:r>
        <w:rPr>
          <w:b/>
          <w:i w:val="0"/>
        </w:rPr>
        <w:t>N</w:t>
      </w:r>
      <w:r>
        <w:rPr>
          <w:b w:val="0"/>
          <w:i w:val="0"/>
        </w:rPr>
        <w:t xml:space="preserve"> the number of tumor-involved regional lymph nodes, and </w:t>
      </w:r>
      <w:r>
        <w:rPr>
          <w:b/>
          <w:i w:val="0"/>
        </w:rPr>
        <w:t>M</w:t>
      </w:r>
      <w:r>
        <w:rPr>
          <w:b w:val="0"/>
          <w:i w:val="0"/>
        </w:rPr>
        <w:t xml:space="preserve"> the number of metastases at a distant site. Note the shape of it: </w:t>
      </w:r>
      <w:r>
        <w:rPr>
          <w:b/>
          <w:i w:val="0"/>
        </w:rPr>
        <w:t>every stage from 0 to IIC is N0 M0</w:t>
      </w:r>
      <w:r>
        <w:rPr>
          <w:b w:val="0"/>
          <w:i w:val="0"/>
        </w:rPr>
        <w:t xml:space="preserve"> — node-negative — and </w:t>
      </w:r>
      <w:r>
        <w:rPr>
          <w:b/>
          <w:i w:val="0"/>
        </w:rPr>
        <w:t>every stage III subgroup is M0 with positive nodes</w:t>
      </w:r>
      <w:r>
        <w:rPr>
          <w:b w:val="0"/>
          <w:i w:val="0"/>
        </w:rPr>
        <w:t>. Anything M1 is stage IV regardless of the tumor.</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0</w:t>
            </w:r>
          </w:p>
        </w:tc>
        <w:tc>
          <w:tcPr>
            <w:tcW w:type="dxa" w:w="5112"/>
          </w:tcPr>
          <w:p>
            <w:pPr>
              <w:spacing w:after="40"/>
            </w:pPr>
            <w:r>
              <w:rPr>
                <w:sz w:val="18"/>
              </w:rPr>
            </w:r>
            <w:r>
              <w:rPr>
                <w:b w:val="0"/>
                <w:i w:val="0"/>
                <w:sz w:val="18"/>
              </w:rPr>
              <w:t>Tis · N0 · M0</w:t>
            </w:r>
          </w:p>
        </w:tc>
      </w:tr>
      <w:tr>
        <w:tc>
          <w:tcPr>
            <w:tcW w:type="dxa" w:w="5112"/>
          </w:tcPr>
          <w:p>
            <w:pPr>
              <w:spacing w:after="40"/>
            </w:pPr>
            <w:r>
              <w:rPr>
                <w:sz w:val="18"/>
              </w:rPr>
            </w:r>
            <w:r>
              <w:rPr>
                <w:b w:val="0"/>
                <w:i w:val="0"/>
                <w:sz w:val="18"/>
              </w:rPr>
              <w:t>IA</w:t>
            </w:r>
          </w:p>
        </w:tc>
        <w:tc>
          <w:tcPr>
            <w:tcW w:type="dxa" w:w="5112"/>
          </w:tcPr>
          <w:p>
            <w:pPr>
              <w:spacing w:after="40"/>
            </w:pPr>
            <w:r>
              <w:rPr>
                <w:sz w:val="18"/>
              </w:rPr>
            </w:r>
            <w:r>
              <w:rPr>
                <w:b w:val="0"/>
                <w:i w:val="0"/>
                <w:sz w:val="18"/>
              </w:rPr>
              <w:t>T1a or T1b · N0 · M0</w:t>
            </w:r>
          </w:p>
        </w:tc>
      </w:tr>
      <w:tr>
        <w:tc>
          <w:tcPr>
            <w:tcW w:type="dxa" w:w="5112"/>
          </w:tcPr>
          <w:p>
            <w:pPr>
              <w:spacing w:after="40"/>
            </w:pPr>
            <w:r>
              <w:rPr>
                <w:sz w:val="18"/>
              </w:rPr>
            </w:r>
            <w:r>
              <w:rPr>
                <w:b w:val="0"/>
                <w:i w:val="0"/>
                <w:sz w:val="18"/>
              </w:rPr>
              <w:t>IB</w:t>
            </w:r>
          </w:p>
        </w:tc>
        <w:tc>
          <w:tcPr>
            <w:tcW w:type="dxa" w:w="5112"/>
          </w:tcPr>
          <w:p>
            <w:pPr>
              <w:spacing w:after="40"/>
            </w:pPr>
            <w:r>
              <w:rPr>
                <w:sz w:val="18"/>
              </w:rPr>
            </w:r>
            <w:r>
              <w:rPr>
                <w:b w:val="0"/>
                <w:i w:val="0"/>
                <w:sz w:val="18"/>
              </w:rPr>
              <w:t>T2a · N0 · M0</w:t>
            </w:r>
          </w:p>
        </w:tc>
      </w:tr>
      <w:tr>
        <w:tc>
          <w:tcPr>
            <w:tcW w:type="dxa" w:w="5112"/>
          </w:tcPr>
          <w:p>
            <w:pPr>
              <w:spacing w:after="40"/>
            </w:pPr>
            <w:r>
              <w:rPr>
                <w:sz w:val="18"/>
              </w:rPr>
            </w:r>
            <w:r>
              <w:rPr>
                <w:b w:val="0"/>
                <w:i w:val="0"/>
                <w:sz w:val="18"/>
              </w:rPr>
              <w:t>IIA</w:t>
            </w:r>
          </w:p>
        </w:tc>
        <w:tc>
          <w:tcPr>
            <w:tcW w:type="dxa" w:w="5112"/>
          </w:tcPr>
          <w:p>
            <w:pPr>
              <w:spacing w:after="40"/>
            </w:pPr>
            <w:r>
              <w:rPr>
                <w:sz w:val="18"/>
              </w:rPr>
            </w:r>
            <w:r>
              <w:rPr>
                <w:b w:val="0"/>
                <w:i w:val="0"/>
                <w:sz w:val="18"/>
              </w:rPr>
              <w:t>T2b or T3a · N0 · M0</w:t>
            </w:r>
          </w:p>
        </w:tc>
      </w:tr>
      <w:tr>
        <w:tc>
          <w:tcPr>
            <w:tcW w:type="dxa" w:w="5112"/>
          </w:tcPr>
          <w:p>
            <w:pPr>
              <w:spacing w:after="40"/>
            </w:pPr>
            <w:r>
              <w:rPr>
                <w:sz w:val="18"/>
              </w:rPr>
            </w:r>
            <w:r>
              <w:rPr>
                <w:b w:val="0"/>
                <w:i w:val="0"/>
                <w:sz w:val="18"/>
              </w:rPr>
              <w:t>IIB</w:t>
            </w:r>
          </w:p>
        </w:tc>
        <w:tc>
          <w:tcPr>
            <w:tcW w:type="dxa" w:w="5112"/>
          </w:tcPr>
          <w:p>
            <w:pPr>
              <w:spacing w:after="40"/>
            </w:pPr>
            <w:r>
              <w:rPr>
                <w:sz w:val="18"/>
              </w:rPr>
            </w:r>
            <w:r>
              <w:rPr>
                <w:b w:val="0"/>
                <w:i w:val="0"/>
                <w:sz w:val="18"/>
              </w:rPr>
              <w:t>T3b or T4a · N0 · M0</w:t>
            </w:r>
          </w:p>
        </w:tc>
      </w:tr>
      <w:tr>
        <w:tc>
          <w:tcPr>
            <w:tcW w:type="dxa" w:w="5112"/>
          </w:tcPr>
          <w:p>
            <w:pPr>
              <w:spacing w:after="40"/>
            </w:pPr>
            <w:r>
              <w:rPr>
                <w:sz w:val="18"/>
              </w:rPr>
            </w:r>
            <w:r>
              <w:rPr>
                <w:b w:val="0"/>
                <w:i w:val="0"/>
                <w:sz w:val="18"/>
              </w:rPr>
              <w:t>IIC</w:t>
            </w:r>
          </w:p>
        </w:tc>
        <w:tc>
          <w:tcPr>
            <w:tcW w:type="dxa" w:w="5112"/>
          </w:tcPr>
          <w:p>
            <w:pPr>
              <w:spacing w:after="40"/>
            </w:pPr>
            <w:r>
              <w:rPr>
                <w:sz w:val="18"/>
              </w:rPr>
            </w:r>
            <w:r>
              <w:rPr>
                <w:b w:val="0"/>
                <w:i w:val="0"/>
                <w:sz w:val="18"/>
              </w:rPr>
              <w:t>T4b · N0 · M0</w:t>
            </w:r>
          </w:p>
        </w:tc>
      </w:tr>
      <w:tr>
        <w:tc>
          <w:tcPr>
            <w:tcW w:type="dxa" w:w="5112"/>
          </w:tcPr>
          <w:p>
            <w:pPr>
              <w:spacing w:after="40"/>
            </w:pPr>
            <w:r>
              <w:rPr>
                <w:sz w:val="18"/>
              </w:rPr>
            </w:r>
            <w:r>
              <w:rPr>
                <w:b w:val="0"/>
                <w:i w:val="0"/>
                <w:sz w:val="18"/>
              </w:rPr>
              <w:t>IIIA</w:t>
            </w:r>
          </w:p>
        </w:tc>
        <w:tc>
          <w:tcPr>
            <w:tcW w:type="dxa" w:w="5112"/>
          </w:tcPr>
          <w:p>
            <w:pPr>
              <w:spacing w:after="40"/>
            </w:pPr>
            <w:r>
              <w:rPr>
                <w:sz w:val="18"/>
              </w:rPr>
            </w:r>
            <w:r>
              <w:rPr>
                <w:b w:val="0"/>
                <w:i w:val="0"/>
                <w:sz w:val="18"/>
              </w:rPr>
              <w:t>T1a/b or T2a · N1a or N2a · M0</w:t>
            </w:r>
          </w:p>
        </w:tc>
      </w:tr>
      <w:tr>
        <w:tc>
          <w:tcPr>
            <w:tcW w:type="dxa" w:w="5112"/>
          </w:tcPr>
          <w:p>
            <w:pPr>
              <w:spacing w:after="40"/>
            </w:pPr>
            <w:r>
              <w:rPr>
                <w:sz w:val="18"/>
              </w:rPr>
            </w:r>
            <w:r>
              <w:rPr>
                <w:b w:val="0"/>
                <w:i w:val="0"/>
                <w:sz w:val="18"/>
              </w:rPr>
              <w:t>IIIB</w:t>
            </w:r>
          </w:p>
        </w:tc>
        <w:tc>
          <w:tcPr>
            <w:tcW w:type="dxa" w:w="5112"/>
          </w:tcPr>
          <w:p>
            <w:pPr>
              <w:spacing w:after="40"/>
            </w:pPr>
            <w:r>
              <w:rPr>
                <w:sz w:val="18"/>
              </w:rPr>
            </w:r>
            <w:r>
              <w:rPr>
                <w:b w:val="0"/>
                <w:i w:val="0"/>
                <w:sz w:val="18"/>
              </w:rPr>
              <w:t>T0 with N1b or N1c · T1a/b or T2a with N1b/c or N2b · T2b or T3a with N1a/b/c or N2a/b · all M0</w:t>
            </w:r>
          </w:p>
        </w:tc>
      </w:tr>
      <w:tr>
        <w:tc>
          <w:tcPr>
            <w:tcW w:type="dxa" w:w="5112"/>
          </w:tcPr>
          <w:p>
            <w:pPr>
              <w:spacing w:after="40"/>
            </w:pPr>
            <w:r>
              <w:rPr>
                <w:sz w:val="18"/>
              </w:rPr>
            </w:r>
            <w:r>
              <w:rPr>
                <w:b w:val="0"/>
                <w:i w:val="0"/>
                <w:sz w:val="18"/>
              </w:rPr>
              <w:t>IIIC</w:t>
            </w:r>
          </w:p>
        </w:tc>
        <w:tc>
          <w:tcPr>
            <w:tcW w:type="dxa" w:w="5112"/>
          </w:tcPr>
          <w:p>
            <w:pPr>
              <w:spacing w:after="40"/>
            </w:pPr>
            <w:r>
              <w:rPr>
                <w:sz w:val="18"/>
              </w:rPr>
            </w:r>
            <w:r>
              <w:rPr>
                <w:b w:val="0"/>
                <w:i w:val="0"/>
                <w:sz w:val="18"/>
              </w:rPr>
              <w:t>T0 with N2b/c or N3b/c · T1a/b, T2a/b or T3a with N2c or N3a/b/c · T3b or T4a with any N ≥N1 · T4b with N1a/b/c or N2a/b/c · all M0</w:t>
            </w:r>
          </w:p>
        </w:tc>
      </w:tr>
      <w:tr>
        <w:tc>
          <w:tcPr>
            <w:tcW w:type="dxa" w:w="5112"/>
          </w:tcPr>
          <w:p>
            <w:pPr>
              <w:spacing w:after="40"/>
            </w:pPr>
            <w:r>
              <w:rPr>
                <w:sz w:val="18"/>
              </w:rPr>
            </w:r>
            <w:r>
              <w:rPr>
                <w:b w:val="0"/>
                <w:i w:val="0"/>
                <w:sz w:val="18"/>
              </w:rPr>
              <w:t>IIID</w:t>
            </w:r>
          </w:p>
        </w:tc>
        <w:tc>
          <w:tcPr>
            <w:tcW w:type="dxa" w:w="5112"/>
          </w:tcPr>
          <w:p>
            <w:pPr>
              <w:spacing w:after="40"/>
            </w:pPr>
            <w:r>
              <w:rPr>
                <w:sz w:val="18"/>
              </w:rPr>
            </w:r>
            <w:r>
              <w:rPr>
                <w:b w:val="0"/>
                <w:i w:val="0"/>
                <w:sz w:val="18"/>
              </w:rPr>
              <w:t>T4b · N3a/b/c · M0</w:t>
            </w:r>
          </w:p>
        </w:tc>
      </w:tr>
      <w:tr>
        <w:tc>
          <w:tcPr>
            <w:tcW w:type="dxa" w:w="5112"/>
          </w:tcPr>
          <w:p>
            <w:pPr>
              <w:spacing w:after="40"/>
            </w:pPr>
            <w:r>
              <w:rPr>
                <w:sz w:val="18"/>
              </w:rPr>
            </w:r>
            <w:r>
              <w:rPr>
                <w:b w:val="0"/>
                <w:i w:val="0"/>
                <w:sz w:val="18"/>
              </w:rPr>
              <w:t>IV</w:t>
            </w:r>
          </w:p>
        </w:tc>
        <w:tc>
          <w:tcPr>
            <w:tcW w:type="dxa" w:w="5112"/>
          </w:tcPr>
          <w:p>
            <w:pPr>
              <w:spacing w:after="40"/>
            </w:pPr>
            <w:r>
              <w:rPr>
                <w:sz w:val="18"/>
              </w:rPr>
            </w:r>
            <w:r>
              <w:rPr>
                <w:b w:val="0"/>
                <w:i w:val="0"/>
                <w:sz w:val="18"/>
              </w:rPr>
              <w:t xml:space="preserve">Any T, Tis · any N · </w:t>
            </w:r>
            <w:r>
              <w:rPr>
                <w:b/>
                <w:i w:val="0"/>
                <w:sz w:val="18"/>
              </w:rPr>
              <w:t>M1</w:t>
            </w:r>
          </w:p>
        </w:tc>
      </w:tr>
    </w:tbl>
    <w:p>
      <w:pPr>
        <w:spacing w:after="80"/>
      </w:pPr>
    </w:p>
    <w:p>
      <w:pPr>
        <w:jc w:val="center"/>
      </w:pPr>
      <w:r>
        <w:drawing>
          <wp:inline xmlns:a="http://schemas.openxmlformats.org/drawingml/2006/main" xmlns:pic="http://schemas.openxmlformats.org/drawingml/2006/picture">
            <wp:extent cx="3840480" cy="4390949"/>
            <wp:docPr id="21" name="Picture 21"/>
            <wp:cNvGraphicFramePr>
              <a:graphicFrameLocks noChangeAspect="1"/>
            </wp:cNvGraphicFramePr>
            <a:graphic>
              <a:graphicData uri="http://schemas.openxmlformats.org/drawingml/2006/picture">
                <pic:pic>
                  <pic:nvPicPr>
                    <pic:cNvPr id="0" name="Clinical_Medicine_and_Surgery_I_Exam_1_cms-derm-staging-images_melanoma-tnm-table.jpg"/>
                    <pic:cNvPicPr/>
                  </pic:nvPicPr>
                  <pic:blipFill>
                    <a:blip r:embed="rId29"/>
                    <a:stretch>
                      <a:fillRect/>
                    </a:stretch>
                  </pic:blipFill>
                  <pic:spPr>
                    <a:xfrm>
                      <a:off x="0" y="0"/>
                      <a:ext cx="3840480" cy="4390949"/>
                    </a:xfrm>
                    <a:prstGeom prst="rect"/>
                  </pic:spPr>
                </pic:pic>
              </a:graphicData>
            </a:graphic>
          </wp:inline>
        </w:drawing>
      </w:r>
    </w:p>
    <w:p>
      <w:pPr>
        <w:spacing w:after="160"/>
        <w:jc w:val="center"/>
      </w:pPr>
      <w:r>
        <w:rPr>
          <w:sz w:val="15"/>
        </w:rPr>
        <w:t>The full table as the deck gives it. Slide 54 — the slide has no text; this picture is all of it.</w:t>
      </w:r>
    </w:p>
    <w:p>
      <w:pPr>
        <w:pStyle w:val="Heading1"/>
        <w:spacing w:before="280" w:after="100"/>
      </w:pPr>
      <w:r>
        <w:rPr>
          <w:rFonts w:ascii="Georgia" w:hAnsi="Georgia"/>
          <w:color w:val="17494B"/>
        </w:rPr>
        <w:t>Primary lesion size thresholds</w:t>
      </w:r>
    </w:p>
    <w:p>
      <w:pPr>
        <w:spacing w:after="120"/>
      </w:pPr>
      <w:r>
        <w:rPr>
          <w:b w:val="0"/>
          <w:i w:val="0"/>
        </w:rPr>
        <w:t>General Dermatology I · slides 9–15</w:t>
      </w:r>
    </w:p>
    <w:p>
      <w:pPr>
        <w:spacing w:after="120"/>
      </w:pPr>
      <w:r>
        <w:rPr>
          <w:b w:val="0"/>
          <w:i w:val="0"/>
        </w:rPr>
        <w:t xml:space="preserve">Not staging, but the graded size cut-offs that decide which word is correct. </w:t>
      </w:r>
      <w:r>
        <w:rPr>
          <w:b/>
          <w:i w:val="0"/>
        </w:rPr>
        <w:t>1 cm is the cut-off in three of the four pairs.</w:t>
      </w:r>
    </w:p>
    <w:tbl>
      <w:tblPr>
        <w:tblStyle w:val="TableGrid"/>
        <w:tblW w:type="auto" w:w="0"/>
        <w:jc w:val="center"/>
        <w:tblLook w:firstColumn="1" w:firstRow="1" w:lastColumn="0" w:lastRow="0" w:noHBand="0" w:noVBand="1" w:val="04A0"/>
        <w:tblBorders>
          <w:top w:val="single" w:sz="4" w:space="0" w:color="D8D2D4"/>
          <w:left w:val="single" w:sz="4" w:space="0" w:color="D8D2D4"/>
          <w:bottom w:val="single" w:sz="4" w:space="0" w:color="D8D2D4"/>
          <w:right w:val="single" w:sz="4" w:space="0" w:color="D8D2D4"/>
          <w:insideH w:val="single" w:sz="4" w:space="0" w:color="D8D2D4"/>
          <w:insideV w:val="single" w:sz="4" w:space="0" w:color="D8D2D4"/>
        </w:tblBorders>
      </w:tblPr>
      <w:tblGrid>
        <w:gridCol w:w="5112"/>
        <w:gridCol w:w="5112"/>
      </w:tblGrid>
      <w:tr>
        <w:tc>
          <w:tcPr>
            <w:tcW w:type="dxa" w:w="5112"/>
          </w:tcPr>
          <w:p>
            <w:pPr>
              <w:spacing w:after="40"/>
            </w:pPr>
            <w:r>
              <w:rPr>
                <w:sz w:val="18"/>
              </w:rPr>
            </w:r>
            <w:r>
              <w:rPr>
                <w:b w:val="0"/>
                <w:i w:val="0"/>
                <w:sz w:val="18"/>
              </w:rPr>
              <w:t>Macule → patch</w:t>
            </w:r>
          </w:p>
        </w:tc>
        <w:tc>
          <w:tcPr>
            <w:tcW w:type="dxa" w:w="5112"/>
          </w:tcPr>
          <w:p>
            <w:pPr>
              <w:spacing w:after="40"/>
            </w:pPr>
            <w:r>
              <w:rPr>
                <w:sz w:val="18"/>
              </w:rPr>
            </w:r>
            <w:r>
              <w:rPr>
                <w:b w:val="0"/>
                <w:i w:val="0"/>
                <w:sz w:val="18"/>
              </w:rPr>
              <w:t xml:space="preserve">Flat, no elevation or depression. </w:t>
            </w:r>
            <w:r>
              <w:rPr>
                <w:b/>
                <w:i w:val="0"/>
                <w:sz w:val="18"/>
              </w:rPr>
              <w:t>Macule &lt;1 cm; patch &gt;1 cm.</w:t>
            </w:r>
          </w:p>
        </w:tc>
      </w:tr>
      <w:tr>
        <w:tc>
          <w:tcPr>
            <w:tcW w:type="dxa" w:w="5112"/>
          </w:tcPr>
          <w:p>
            <w:pPr>
              <w:spacing w:after="40"/>
            </w:pPr>
            <w:r>
              <w:rPr>
                <w:sz w:val="18"/>
              </w:rPr>
            </w:r>
            <w:r>
              <w:rPr>
                <w:b w:val="0"/>
                <w:i w:val="0"/>
                <w:sz w:val="18"/>
              </w:rPr>
              <w:t>Papule → nodule</w:t>
            </w:r>
          </w:p>
        </w:tc>
        <w:tc>
          <w:tcPr>
            <w:tcW w:type="dxa" w:w="5112"/>
          </w:tcPr>
          <w:p>
            <w:pPr>
              <w:spacing w:after="40"/>
            </w:pPr>
            <w:r>
              <w:rPr>
                <w:sz w:val="18"/>
              </w:rPr>
            </w:r>
            <w:r>
              <w:rPr>
                <w:b w:val="0"/>
                <w:i w:val="0"/>
                <w:sz w:val="18"/>
              </w:rPr>
              <w:t xml:space="preserve">Elevated and solid. </w:t>
            </w:r>
            <w:r>
              <w:rPr>
                <w:b/>
                <w:i w:val="0"/>
                <w:sz w:val="18"/>
              </w:rPr>
              <w:t>Papule &lt;1 cm; nodule &gt;1 cm.</w:t>
            </w:r>
          </w:p>
        </w:tc>
      </w:tr>
      <w:tr>
        <w:tc>
          <w:tcPr>
            <w:tcW w:type="dxa" w:w="5112"/>
          </w:tcPr>
          <w:p>
            <w:pPr>
              <w:spacing w:after="40"/>
            </w:pPr>
            <w:r>
              <w:rPr>
                <w:sz w:val="18"/>
              </w:rPr>
            </w:r>
            <w:r>
              <w:rPr>
                <w:b w:val="0"/>
                <w:i w:val="0"/>
                <w:sz w:val="18"/>
              </w:rPr>
              <w:t>Vesicle → bulla</w:t>
            </w:r>
          </w:p>
        </w:tc>
        <w:tc>
          <w:tcPr>
            <w:tcW w:type="dxa" w:w="5112"/>
          </w:tcPr>
          <w:p>
            <w:pPr>
              <w:spacing w:after="40"/>
            </w:pPr>
            <w:r>
              <w:rPr>
                <w:sz w:val="18"/>
              </w:rPr>
            </w:r>
            <w:r>
              <w:rPr>
                <w:b w:val="0"/>
                <w:i w:val="0"/>
                <w:sz w:val="18"/>
              </w:rPr>
              <w:t xml:space="preserve">Fluid filled. </w:t>
            </w:r>
            <w:r>
              <w:rPr>
                <w:b/>
                <w:i w:val="0"/>
                <w:sz w:val="18"/>
              </w:rPr>
              <w:t>Vesicle up to &lt;1 cm; bulla &gt;1 cm.</w:t>
            </w:r>
          </w:p>
        </w:tc>
      </w:tr>
      <w:tr>
        <w:tc>
          <w:tcPr>
            <w:tcW w:type="dxa" w:w="5112"/>
          </w:tcPr>
          <w:p>
            <w:pPr>
              <w:spacing w:after="40"/>
            </w:pPr>
            <w:r>
              <w:rPr>
                <w:sz w:val="18"/>
              </w:rPr>
            </w:r>
            <w:r>
              <w:rPr>
                <w:b w:val="0"/>
                <w:i w:val="0"/>
                <w:sz w:val="18"/>
              </w:rPr>
              <w:t>Petechiae → purpura</w:t>
            </w:r>
          </w:p>
        </w:tc>
        <w:tc>
          <w:tcPr>
            <w:tcW w:type="dxa" w:w="5112"/>
          </w:tcPr>
          <w:p>
            <w:pPr>
              <w:spacing w:after="40"/>
            </w:pPr>
            <w:r>
              <w:rPr>
                <w:sz w:val="18"/>
              </w:rPr>
            </w:r>
            <w:r>
              <w:rPr>
                <w:b w:val="0"/>
                <w:i w:val="0"/>
                <w:sz w:val="18"/>
              </w:rPr>
              <w:t xml:space="preserve">Deposits of blood. </w:t>
            </w:r>
            <w:r>
              <w:rPr>
                <w:b/>
                <w:i w:val="0"/>
                <w:sz w:val="18"/>
              </w:rPr>
              <w:t>Petechiae 1–2 mm; purpura ≥4 mm.</w:t>
            </w:r>
            <w:r>
              <w:rPr>
                <w:b w:val="0"/>
                <w:i w:val="0"/>
                <w:sz w:val="18"/>
              </w:rPr>
              <w:t xml:space="preserve"> </w:t>
            </w:r>
            <w:r>
              <w:rPr>
                <w:b w:val="0"/>
                <w:i w:val="0"/>
                <w:sz w:val="18"/>
              </w:rPr>
              <w:t>Purpura is a medical emergency until proven otherwise.</w:t>
            </w:r>
          </w:p>
        </w:tc>
      </w:tr>
    </w:tbl>
    <w:p>
      <w:pPr>
        <w:spacing w:after="80"/>
      </w:pPr>
    </w:p>
    <w:p>
      <w:pPr>
        <w:jc w:val="center"/>
      </w:pPr>
      <w:r>
        <w:drawing>
          <wp:inline xmlns:a="http://schemas.openxmlformats.org/drawingml/2006/main" xmlns:pic="http://schemas.openxmlformats.org/drawingml/2006/picture">
            <wp:extent cx="3840480" cy="2159203"/>
            <wp:docPr id="22" name="Picture 22"/>
            <wp:cNvGraphicFramePr>
              <a:graphicFrameLocks noChangeAspect="1"/>
            </wp:cNvGraphicFramePr>
            <a:graphic>
              <a:graphicData uri="http://schemas.openxmlformats.org/drawingml/2006/picture">
                <pic:pic>
                  <pic:nvPicPr>
                    <pic:cNvPr id="0" name="Clinical_Medicine_and_Surgery_I_Exam_1_cms-derm-staging-images_primary-lesion-morphology.jpg"/>
                    <pic:cNvPicPr/>
                  </pic:nvPicPr>
                  <pic:blipFill>
                    <a:blip r:embed="rId30"/>
                    <a:stretch>
                      <a:fillRect/>
                    </a:stretch>
                  </pic:blipFill>
                  <pic:spPr>
                    <a:xfrm>
                      <a:off x="0" y="0"/>
                      <a:ext cx="3840480" cy="2159203"/>
                    </a:xfrm>
                    <a:prstGeom prst="rect"/>
                  </pic:spPr>
                </pic:pic>
              </a:graphicData>
            </a:graphic>
          </wp:inline>
        </w:drawing>
      </w:r>
    </w:p>
    <w:p>
      <w:pPr>
        <w:spacing w:after="160"/>
        <w:jc w:val="center"/>
      </w:pPr>
      <w:r>
        <w:rPr>
          <w:sz w:val="15"/>
        </w:rPr>
        <w:t>The six primary lesions the size rules are applied to. Slide 9.</w:t>
      </w:r>
    </w:p>
    <w:p>
      <w:pPr>
        <w:jc w:val="center"/>
      </w:pPr>
      <w:r>
        <w:drawing>
          <wp:inline xmlns:a="http://schemas.openxmlformats.org/drawingml/2006/main" xmlns:pic="http://schemas.openxmlformats.org/drawingml/2006/picture">
            <wp:extent cx="3840480" cy="2880360"/>
            <wp:docPr id="23" name="Picture 23"/>
            <wp:cNvGraphicFramePr>
              <a:graphicFrameLocks noChangeAspect="1"/>
            </wp:cNvGraphicFramePr>
            <a:graphic>
              <a:graphicData uri="http://schemas.openxmlformats.org/drawingml/2006/picture">
                <pic:pic>
                  <pic:nvPicPr>
                    <pic:cNvPr id="0" name="Clinical_Medicine_and_Surgery_I_Exam_1_cms-derm-staging-images_petechiae-purpura.jpg"/>
                    <pic:cNvPicPr/>
                  </pic:nvPicPr>
                  <pic:blipFill>
                    <a:blip r:embed="rId31"/>
                    <a:stretch>
                      <a:fillRect/>
                    </a:stretch>
                  </pic:blipFill>
                  <pic:spPr>
                    <a:xfrm>
                      <a:off x="0" y="0"/>
                      <a:ext cx="3840480" cy="2880360"/>
                    </a:xfrm>
                    <a:prstGeom prst="rect"/>
                  </pic:spPr>
                </pic:pic>
              </a:graphicData>
            </a:graphic>
          </wp:inline>
        </w:drawing>
      </w:r>
    </w:p>
    <w:p>
      <w:pPr>
        <w:spacing w:after="160"/>
        <w:jc w:val="center"/>
      </w:pPr>
      <w:r>
        <w:rPr>
          <w:sz w:val="15"/>
        </w:rPr>
        <w:t>Blood deposits — the pair separated by millimeters rather than by a centimeter. Slide 15.</w:t>
      </w:r>
    </w:p>
    <w:p>
      <w:pPr>
        <w:spacing w:after="120"/>
      </w:pPr>
      <w:r>
        <w:rPr>
          <w:b w:val="0"/>
          <w:i w:val="0"/>
        </w:rPr>
        <w:t>← Back to Homepage</w:t>
      </w:r>
    </w:p>
    <w:p>
      <w:pPr>
        <w:spacing w:after="120"/>
      </w:pPr>
      <w:r>
        <w:rPr>
          <w:b w:val="0"/>
          <w:i w:val="0"/>
        </w:rPr>
        <w:t xml:space="preserve">★ </w:t>
      </w:r>
      <w:r>
        <w:rPr>
          <w:b w:val="0"/>
          <w:i w:val="0"/>
        </w:rPr>
        <w:t>If you see any mistakes, click here to report it</w:t>
      </w:r>
      <w:r>
        <w:rPr>
          <w:b w:val="0"/>
          <w:i w:val="0"/>
        </w:rPr>
        <w:t xml:space="preserve"> ★</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