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Contraindications &amp; Must-Know Warnings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1 · Class of 2028</w:t>
      </w:r>
    </w:p>
    <w:p>
      <w:pPr>
        <w:spacing w:after="120"/>
      </w:pPr>
      <w:r>
        <w:rPr>
          <w:b w:val="0"/>
          <w:i w:val="0"/>
        </w:rPr>
        <w:t xml:space="preserve">Every contraindication, prohibition and named reaction in the three Exam 1 decks, in one place. 71 entries, each citing the slide it came from. Built after Dr. McInnis’s email that students over-study mechanism and under-study </w:t>
      </w:r>
      <w:r>
        <w:rPr>
          <w:b/>
          <w:i w:val="0"/>
        </w:rPr>
        <w:t>indications, patient education, side effects and contraindications</w:t>
      </w:r>
      <w:r>
        <w:rPr>
          <w:b w:val="0"/>
          <w:i w:val="0"/>
        </w:rPr>
        <w:t>.</w:t>
      </w:r>
    </w:p>
    <w:p>
      <w:pPr>
        <w:spacing w:after="120"/>
      </w:pPr>
      <w:r>
        <w:rPr>
          <w:b/>
          <w:i w:val="0"/>
        </w:rPr>
        <w:t>Contraindicated</w:t>
      </w:r>
      <w:r>
        <w:rPr>
          <w:b w:val="0"/>
          <w:i w:val="0"/>
        </w:rPr>
        <w:t xml:space="preserve"> — The deck uses the word </w:t>
      </w:r>
      <w:r>
        <w:rPr>
          <w:b/>
          <w:i w:val="0"/>
        </w:rPr>
        <w:t>contraindicated</w:t>
      </w:r>
      <w:r>
        <w:rPr>
          <w:b w:val="0"/>
          <w:i w:val="0"/>
        </w:rPr>
        <w:t>.</w:t>
      </w:r>
      <w:r>
        <w:rPr>
          <w:b/>
          <w:i w:val="0"/>
        </w:rPr>
        <w:t>Black box</w:t>
      </w:r>
      <w:r>
        <w:rPr>
          <w:b w:val="0"/>
          <w:i w:val="0"/>
        </w:rPr>
        <w:t xml:space="preserve"> — The deck says </w:t>
      </w:r>
      <w:r>
        <w:rPr>
          <w:b/>
          <w:i w:val="0"/>
        </w:rPr>
        <w:t>black box warning</w:t>
      </w:r>
      <w:r>
        <w:rPr>
          <w:b w:val="0"/>
          <w:i w:val="0"/>
        </w:rPr>
        <w:t>.</w:t>
      </w:r>
      <w:r>
        <w:rPr>
          <w:b/>
          <w:i w:val="0"/>
        </w:rPr>
        <w:t>Avoid / do not use</w:t>
      </w:r>
      <w:r>
        <w:rPr>
          <w:b w:val="0"/>
          <w:i w:val="0"/>
        </w:rPr>
        <w:t xml:space="preserve"> — The deck says avoid, do not use, cannot use, or teratogenic.</w:t>
      </w:r>
      <w:r>
        <w:rPr>
          <w:b/>
          <w:i w:val="0"/>
        </w:rPr>
        <w:t>Named reaction</w:t>
      </w:r>
      <w:r>
        <w:rPr>
          <w:b w:val="0"/>
          <w:i w:val="0"/>
        </w:rPr>
        <w:t xml:space="preserve"> — A named syndrome or reaction — </w:t>
      </w:r>
      <w:r>
        <w:rPr>
          <w:b/>
          <w:i w:val="0"/>
        </w:rPr>
        <w:t>bold and underlined</w:t>
      </w:r>
      <w:r>
        <w:rPr>
          <w:b w:val="0"/>
          <w:i w:val="0"/>
        </w:rPr>
        <w:t xml:space="preserve"> in the tables.</w:t>
      </w:r>
      <w:r>
        <w:rPr>
          <w:b/>
          <w:i w:val="0"/>
        </w:rPr>
        <w:t>Caution</w:t>
      </w:r>
      <w:r>
        <w:rPr>
          <w:b w:val="0"/>
          <w:i w:val="0"/>
        </w:rPr>
        <w:t xml:space="preserve"> — A stated caution, monitoring need or major adverse effect — </w:t>
      </w:r>
      <w:r>
        <w:rPr>
          <w:b/>
          <w:i w:val="0"/>
        </w:rPr>
        <w:t>not</w:t>
      </w:r>
      <w:r>
        <w:rPr>
          <w:b w:val="0"/>
          <w:i w:val="0"/>
        </w:rPr>
        <w:t xml:space="preserve"> worded as a contraindication.</w:t>
      </w:r>
      <w:r>
        <w:rPr>
          <w:b/>
          <w:i w:val="0"/>
        </w:rPr>
        <w:t>Safe exception</w:t>
      </w:r>
      <w:r>
        <w:rPr>
          <w:b w:val="0"/>
          <w:i w:val="0"/>
        </w:rPr>
        <w:t xml:space="preserve"> — The deck says this one </w:t>
      </w:r>
      <w:r>
        <w:rPr>
          <w:b/>
          <w:i w:val="0"/>
        </w:rPr>
        <w:t>can</w:t>
      </w:r>
      <w:r>
        <w:rPr>
          <w:b w:val="0"/>
          <w:i w:val="0"/>
        </w:rPr>
        <w:t xml:space="preserve"> be used where the class cannot — the flip side of a contraindication.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The tiers are not interchangeable, and that is the point.</w:t>
            </w:r>
            <w:r>
              <w:rPr>
                <w:b w:val="0"/>
                <w:i w:val="0"/>
              </w:rPr>
              <w:t xml:space="preserve"> These decks are uneven: only 4 statements are actually worded “contraindicated”, one is a black box warning, and 10 say avoid / do not use / teratogenic. Everything else is a stated caution or a major adverse effect. </w:t>
            </w:r>
            <w:r>
              <w:rPr>
                <w:b/>
                <w:i w:val="0"/>
              </w:rPr>
              <w:t>Nothing here has been promoted a tier above what the slide says</w:t>
            </w:r>
            <w:r>
              <w:rPr>
                <w:b w:val="0"/>
                <w:i w:val="0"/>
              </w:rPr>
              <w:t xml:space="preserve"> — if a row is marked Caution, the deck did not call it a contraindication, however much it sounds like one.</w:t>
            </w:r>
          </w:p>
        </w:tc>
      </w:tr>
    </w:tbl>
    <w:p>
      <w:pPr>
        <w:spacing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Two things this reference deliberately does NOT contain.</w:t>
            </w:r>
            <w:r>
              <w:rPr>
                <w:b/>
                <w:i w:val="0"/>
              </w:rPr>
              <w:t>1. Dosages.</w:t>
            </w:r>
            <w:r>
              <w:rPr>
                <w:b w:val="0"/>
                <w:i w:val="0"/>
              </w:rPr>
              <w:t xml:space="preserve"> Dr. Wood said drug dosages are not tested, so none are reproduced here. </w:t>
            </w:r>
            <w:r>
              <w:rPr>
                <w:b/>
                <w:i w:val="0"/>
              </w:rPr>
              <w:t>2. Any race-based contraindication.</w:t>
            </w:r>
            <w:r>
              <w:rPr>
                <w:b w:val="0"/>
                <w:i w:val="0"/>
              </w:rPr>
              <w:t xml:space="preserve"> All 310 slides were searched: </w:t>
            </w:r>
            <w:r>
              <w:rPr>
                <w:b/>
                <w:i w:val="0"/>
              </w:rPr>
              <w:t>there is no contraindication keyed to race or ethnicity anywhere in these three decks.</w:t>
            </w:r>
            <w:r>
              <w:rPr>
                <w:b w:val="0"/>
                <w:i w:val="0"/>
              </w:rPr>
              <w:t xml:space="preserve"> If a question offers one, it is not from this material. (Race does appear as a </w:t>
            </w:r>
            <w:r>
              <w:rPr>
                <w:b w:val="0"/>
                <w:i/>
              </w:rPr>
              <w:t>risk factor</w:t>
            </w:r>
            <w:r>
              <w:rPr>
                <w:b w:val="0"/>
                <w:i w:val="0"/>
              </w:rPr>
              <w:t xml:space="preserve"> for glaucoma — but that is the CMS ophthalmology deck, a different exam.) </w:t>
            </w:r>
            <w:r>
              <w:rPr>
                <w:b/>
                <w:i w:val="0"/>
              </w:rPr>
              <w:t>3. Streptogramins.</w:t>
            </w:r>
            <w:r>
              <w:rPr>
                <w:b w:val="0"/>
                <w:i w:val="0"/>
              </w:rPr>
              <w:t xml:space="preserve"> The Lecture 1 objectives slide names the class, but </w:t>
            </w:r>
            <w:r>
              <w:rPr>
                <w:b/>
                <w:i w:val="0"/>
              </w:rPr>
              <w:t>the deck contains no streptogramin slide at all</w:t>
            </w:r>
            <w:r>
              <w:rPr>
                <w:b w:val="0"/>
                <w:i w:val="0"/>
              </w:rPr>
              <w:t xml:space="preserve"> — no drug, no contraindication. Nothing has been invented to fill that gap.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The named reactions learn these by name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These are the ones a question can name directly — “a patient develops flushing of the head and neck during an infusion” is asking for one specific drug. Every named reaction on this page is </w:t>
            </w:r>
            <w:r>
              <w:rPr>
                <w:b/>
                <w:i w:val="0"/>
              </w:rPr>
              <w:t>bold and underlined</w:t>
            </w:r>
            <w:r>
              <w:rPr>
                <w:b w:val="0"/>
                <w:i w:val="0"/>
              </w:rPr>
              <w:t xml:space="preserve"> wherever it appears.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3408"/>
        <w:gridCol w:w="3408"/>
        <w:gridCol w:w="3408"/>
      </w:tblGrid>
      <w:tr>
        <w:tc>
          <w:tcPr>
            <w:tcW w:type="dxa" w:w="340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340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340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Carbapenems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imipenem, meropenem, ertapenem, doripenem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Monitor renal and hepatic function, full blood count for bleeding, signs of anaphylaxis — and </w:t>
            </w:r>
            <w:r>
              <w:rPr>
                <w:b/>
                <w:i w:val="0"/>
                <w:sz w:val="18"/>
              </w:rPr>
              <w:t>SEIZURES, specifically with imipenem</w:t>
            </w:r>
            <w:r>
              <w:rPr>
                <w:b w:val="0"/>
                <w:i w:val="0"/>
                <w:sz w:val="18"/>
              </w:rPr>
              <w:t>. That pairing is the one carbapenem fact most likely to be asked.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44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Vancomycin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Infusion-related reaction — </w:t>
            </w:r>
            <w:r>
              <w:rPr>
                <w:b/>
                <w:i w:val="0"/>
                <w:sz w:val="18"/>
              </w:rPr>
              <w:t>“Red Man Syndrome”</w:t>
            </w:r>
            <w:r>
              <w:rPr>
                <w:b w:val="0"/>
                <w:i w:val="0"/>
                <w:sz w:val="18"/>
              </w:rPr>
              <w:t xml:space="preserve">, with fever, chills and phlebitis. The deck also titles a slide </w:t>
            </w:r>
            <w:r>
              <w:rPr>
                <w:b/>
                <w:i w:val="0"/>
                <w:sz w:val="18"/>
              </w:rPr>
              <w:t>“Vancomycin Infusion Syndrome”</w:t>
            </w:r>
            <w:r>
              <w:rPr>
                <w:b w:val="0"/>
                <w:i w:val="0"/>
                <w:sz w:val="18"/>
              </w:rPr>
              <w:t xml:space="preserve">. It is an </w:t>
            </w:r>
            <w:r>
              <w:rPr>
                <w:b/>
                <w:i w:val="0"/>
                <w:sz w:val="18"/>
              </w:rPr>
              <w:t>infusion-rate</w:t>
            </w:r>
            <w:r>
              <w:rPr>
                <w:b w:val="0"/>
                <w:i w:val="0"/>
                <w:sz w:val="18"/>
              </w:rPr>
              <w:t xml:space="preserve"> problem, which is why the drug is infused over 60 minutes.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Macrolides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erythromycin, clarithromycin, azithromycin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QT prolongation and Torsades de pointes</w:t>
            </w:r>
            <w:r>
              <w:rPr>
                <w:b w:val="0"/>
                <w:i w:val="0"/>
                <w:sz w:val="18"/>
              </w:rPr>
              <w:t xml:space="preserve"> — worse in combination with </w:t>
            </w:r>
            <w:r>
              <w:rPr>
                <w:b/>
                <w:i w:val="0"/>
                <w:sz w:val="18"/>
              </w:rPr>
              <w:t>class Ia and III antiarrhythmics</w:t>
            </w:r>
            <w:r>
              <w:rPr>
                <w:b w:val="0"/>
                <w:i w:val="0"/>
                <w:sz w:val="18"/>
              </w:rPr>
              <w:t xml:space="preserve"> and with electrolyte abnormalities.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Fluoroquinolones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ciprofloxacin, levofloxacin, moxifloxacin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Tendonitis and Achilles tendon rupture.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Caution if under 18 years old.</w:t>
            </w:r>
            <w:r>
              <w:rPr>
                <w:b w:val="0"/>
                <w:i w:val="0"/>
                <w:sz w:val="18"/>
              </w:rPr>
              <w:t xml:space="preserve"> Also peripheral neuropathy and central nervous system toxicity — dizziness, insomnia, somnolence.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79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Fluoroquinolones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ciprofloxacin, levofloxacin, moxifloxacin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QT prolongation and Torsades de Pointes.</w:t>
            </w:r>
            <w:r>
              <w:rPr>
                <w:b w:val="0"/>
                <w:i w:val="0"/>
                <w:sz w:val="18"/>
              </w:rPr>
              <w:t xml:space="preserve"> Photosensitivity, and they </w:t>
            </w:r>
            <w:r>
              <w:rPr>
                <w:b/>
                <w:i w:val="0"/>
                <w:sz w:val="18"/>
              </w:rPr>
              <w:t>complex with cations</w:t>
            </w:r>
            <w:r>
              <w:rPr>
                <w:b w:val="0"/>
                <w:i w:val="0"/>
                <w:sz w:val="18"/>
              </w:rPr>
              <w:t xml:space="preserve"> — iron, antacids, multivitamins, calcium and dairy.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79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Trimethoprim / sulfamethoxazole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Septra, Bactrim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Stevens-Johnson syndrome and toxic epidermal necrolysis.</w:t>
            </w:r>
            <w:r>
              <w:rPr>
                <w:b w:val="0"/>
                <w:i w:val="0"/>
                <w:sz w:val="18"/>
              </w:rPr>
              <w:t xml:space="preserve"> Blood dyscrasias — thrombocytopenia, agranulocytosis, megaloblastic anemia. Hepatotoxicity and hyperbilirubinemia.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85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Metronidazole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Flagyl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Disulfiram-like reaction with ethanol.</w:t>
            </w:r>
            <w:r>
              <w:rPr>
                <w:b w:val="0"/>
                <w:i w:val="0"/>
                <w:sz w:val="18"/>
              </w:rPr>
              <w:t xml:space="preserve"> The single most testable fact about this drug — counsel the patient not to drink.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86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Linezolid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Zyvox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Serotonin syndrome</w:t>
            </w:r>
            <w:r>
              <w:rPr>
                <w:b w:val="0"/>
                <w:i w:val="0"/>
                <w:sz w:val="18"/>
              </w:rPr>
              <w:t xml:space="preserve"> with </w:t>
            </w:r>
            <w:r>
              <w:rPr>
                <w:b/>
                <w:i w:val="0"/>
                <w:sz w:val="18"/>
              </w:rPr>
              <w:t>SSRIs, tyramine-containing foods and pseudoephedrine</w:t>
            </w:r>
            <w:r>
              <w:rPr>
                <w:b w:val="0"/>
                <w:i w:val="0"/>
                <w:sz w:val="18"/>
              </w:rPr>
              <w:t xml:space="preserve">. Also </w:t>
            </w:r>
            <w:r>
              <w:rPr>
                <w:b/>
                <w:i w:val="0"/>
                <w:sz w:val="18"/>
              </w:rPr>
              <w:t>thrombocytopenia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Albendazole, mebendazole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Albenza, Emverm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Very well tolerated, but rash including </w:t>
            </w:r>
            <w:r>
              <w:rPr>
                <w:b/>
                <w:i w:val="0"/>
                <w:sz w:val="18"/>
              </w:rPr>
              <w:t>Stevens-Johnson syndrome and toxic epidermal necrolysis</w:t>
            </w:r>
            <w:r>
              <w:rPr>
                <w:b w:val="0"/>
                <w:i w:val="0"/>
                <w:sz w:val="18"/>
              </w:rPr>
              <w:t xml:space="preserve"> is described.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115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Atropine and antimuscarinics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</w:t>
            </w:r>
            <w:r>
              <w:rPr>
                <w:b/>
                <w:i w:val="0"/>
                <w:sz w:val="18"/>
              </w:rPr>
              <w:t>anticholinergic toxidrome</w:t>
            </w:r>
            <w:r>
              <w:rPr>
                <w:b w:val="0"/>
                <w:i w:val="0"/>
                <w:sz w:val="18"/>
              </w:rPr>
              <w:t xml:space="preserve">: </w:t>
            </w:r>
            <w:r>
              <w:rPr>
                <w:b/>
                <w:i w:val="0"/>
                <w:sz w:val="18"/>
              </w:rPr>
              <w:t>mad as a hatter</w:t>
            </w:r>
            <w:r>
              <w:rPr>
                <w:b w:val="0"/>
                <w:i w:val="0"/>
                <w:sz w:val="18"/>
              </w:rPr>
              <w:t xml:space="preserve"> (sedation, anxiety, hallucinations, seizures), </w:t>
            </w:r>
            <w:r>
              <w:rPr>
                <w:b/>
                <w:i w:val="0"/>
                <w:sz w:val="18"/>
              </w:rPr>
              <w:t>blind as a bat</w:t>
            </w:r>
            <w:r>
              <w:rPr>
                <w:b w:val="0"/>
                <w:i w:val="0"/>
                <w:sz w:val="18"/>
              </w:rPr>
              <w:t xml:space="preserve"> (mydriasis, blurry vision), </w:t>
            </w:r>
            <w:r>
              <w:rPr>
                <w:b/>
                <w:i w:val="0"/>
                <w:sz w:val="18"/>
              </w:rPr>
              <w:t>red as a beet</w:t>
            </w:r>
            <w:r>
              <w:rPr>
                <w:b w:val="0"/>
                <w:i w:val="0"/>
                <w:sz w:val="18"/>
              </w:rPr>
              <w:t xml:space="preserve"> (flushing), </w:t>
            </w:r>
            <w:r>
              <w:rPr>
                <w:b/>
                <w:i w:val="0"/>
                <w:sz w:val="18"/>
              </w:rPr>
              <w:t>dry as a bone</w:t>
            </w:r>
            <w:r>
              <w:rPr>
                <w:b w:val="0"/>
                <w:i w:val="0"/>
                <w:sz w:val="18"/>
              </w:rPr>
              <w:t xml:space="preserve"> (decreased secretions), </w:t>
            </w:r>
            <w:r>
              <w:rPr>
                <w:b/>
                <w:i w:val="0"/>
                <w:sz w:val="18"/>
              </w:rPr>
              <w:t>hot as Hades</w:t>
            </w:r>
            <w:r>
              <w:rPr>
                <w:b w:val="0"/>
                <w:i w:val="0"/>
                <w:sz w:val="18"/>
              </w:rPr>
              <w:t xml:space="preserve"> (hyperthermia), plus constipation, urinary retention and tachycardia.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50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Succinylcholine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Malignant hyperthermia</w:t>
            </w:r>
            <w:r>
              <w:rPr>
                <w:b w:val="0"/>
                <w:i w:val="0"/>
                <w:sz w:val="18"/>
              </w:rPr>
              <w:t xml:space="preserve"> with halothane in genetically susceptible people — muscular rigidity, metabolic acidosis, tachycardia and hyperpyrexia. </w:t>
            </w:r>
            <w:r>
              <w:rPr>
                <w:b/>
                <w:i w:val="0"/>
                <w:sz w:val="18"/>
              </w:rPr>
              <w:t>Treat by rapid cooling and dantrolene (Dantrium)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70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Clonidine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Catapres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Rebound hypertension with abrupt discontinuance.</w:t>
            </w:r>
            <w:r>
              <w:rPr>
                <w:b w:val="0"/>
                <w:i w:val="0"/>
                <w:sz w:val="18"/>
              </w:rPr>
              <w:t xml:space="preserve"> Also lethargy, sedation, constipation and xerostomia.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97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Alpha-1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prazosin, terazosin, doxazosin, tamsulosin, alfuzosin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“First-dose” syncope.</w:t>
            </w:r>
            <w:r>
              <w:rPr>
                <w:b w:val="0"/>
                <w:i w:val="0"/>
                <w:sz w:val="18"/>
              </w:rPr>
              <w:t xml:space="preserve"> Also dizziness, lack of energy, nasal congestion, headache, drowsiness and </w:t>
            </w:r>
            <w:r>
              <w:rPr>
                <w:b/>
                <w:i w:val="0"/>
                <w:sz w:val="18"/>
              </w:rPr>
              <w:t>orthostatic hypotension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111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Phenoxybenzamine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Epinephrine reversal</w:t>
            </w:r>
            <w:r>
              <w:rPr>
                <w:b w:val="0"/>
                <w:i w:val="0"/>
                <w:sz w:val="18"/>
              </w:rPr>
              <w:t xml:space="preserve"> — it blocks the alpha vasoconstriction of epinephrine but not its beta vasodilation, so blood pressure falls. Block is </w:t>
            </w:r>
            <w:r>
              <w:rPr>
                <w:b/>
                <w:i w:val="0"/>
                <w:sz w:val="18"/>
              </w:rPr>
              <w:t>irreversible</w:t>
            </w:r>
            <w:r>
              <w:rPr>
                <w:b w:val="0"/>
                <w:i w:val="0"/>
                <w:sz w:val="18"/>
              </w:rPr>
              <w:t xml:space="preserve">; the body must synthesize new receptors, taking </w:t>
            </w:r>
            <w:r>
              <w:rPr>
                <w:b/>
                <w:i w:val="0"/>
                <w:sz w:val="18"/>
              </w:rPr>
              <w:t>at least 24 hours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109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Propranolol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non-selective beta blocker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Arrhythmias if stopped abruptly</w:t>
            </w:r>
            <w:r>
              <w:rPr>
                <w:b w:val="0"/>
                <w:i w:val="0"/>
                <w:sz w:val="18"/>
              </w:rPr>
              <w:t>, from up-regulation of beta receptors — never stop a beta blocker suddenly. Also central effects: depression, hallucinations, vivid dreams and nightmares.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117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Pregnancy, breastfeeding and teratogenicity the highest-yield group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Three different strengths sit in this one table, and a question can turn on which one a drug gets. </w:t>
            </w:r>
            <w:r>
              <w:rPr>
                <w:b/>
                <w:i w:val="0"/>
              </w:rPr>
              <w:t>Isotretinoin</w:t>
            </w:r>
            <w:r>
              <w:rPr>
                <w:b w:val="0"/>
                <w:i w:val="0"/>
              </w:rPr>
              <w:t xml:space="preserve"> is an absolute contraindication in pregnancy </w:t>
            </w:r>
            <w:r>
              <w:rPr>
                <w:b w:val="0"/>
                <w:i/>
              </w:rPr>
              <w:t>and</w:t>
            </w:r>
            <w:r>
              <w:rPr>
                <w:b w:val="0"/>
                <w:i w:val="0"/>
              </w:rPr>
              <w:t xml:space="preserve"> breastfeeding, with men told to avoid it too. </w:t>
            </w:r>
            <w:r>
              <w:rPr>
                <w:b/>
                <w:i w:val="0"/>
              </w:rPr>
              <w:t>Itraconazole</w:t>
            </w:r>
            <w:r>
              <w:rPr>
                <w:b w:val="0"/>
                <w:i w:val="0"/>
              </w:rPr>
              <w:t xml:space="preserve"> is flagged teratogenic outright, while </w:t>
            </w:r>
            <w:r>
              <w:rPr>
                <w:b/>
                <w:i w:val="0"/>
              </w:rPr>
              <w:t>fluconazole</w:t>
            </w:r>
            <w:r>
              <w:rPr>
                <w:b w:val="0"/>
                <w:i w:val="0"/>
              </w:rPr>
              <w:t xml:space="preserve"> and </w:t>
            </w:r>
            <w:r>
              <w:rPr>
                <w:b/>
                <w:i w:val="0"/>
              </w:rPr>
              <w:t>voriconazole</w:t>
            </w:r>
            <w:r>
              <w:rPr>
                <w:b w:val="0"/>
                <w:i w:val="0"/>
              </w:rPr>
              <w:t xml:space="preserve"> are only “teratogenic in animals”. Everything else is worded as avoid. Read the wording, not just the drug name.</w:t>
            </w:r>
            <w:r>
              <w:br/>
            </w:r>
            <w:r>
              <w:br/>
            </w:r>
            <w:r>
              <w:rPr>
                <w:b w:val="0"/>
                <w:i w:val="0"/>
              </w:rPr>
              <w:t xml:space="preserve"> Related but not the same thing: </w:t>
            </w:r>
            <w:r>
              <w:rPr>
                <w:b/>
                <w:i w:val="0"/>
              </w:rPr>
              <w:t>aminopenicillins</w:t>
            </w:r>
            <w:r>
              <w:rPr>
                <w:b w:val="0"/>
                <w:i w:val="0"/>
              </w:rPr>
              <w:t xml:space="preserve"> reduce the effectiveness of oral contraceptives — that is a risk of a pregnancy </w:t>
            </w:r>
            <w:r>
              <w:rPr>
                <w:b w:val="0"/>
                <w:i/>
              </w:rPr>
              <w:t>happening</w:t>
            </w:r>
            <w:r>
              <w:rPr>
                <w:b w:val="0"/>
                <w:i w:val="0"/>
              </w:rPr>
              <w:t>, not a risk to a fetus, so it sits under beta-lactams rather than here.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3408"/>
        <w:gridCol w:w="3408"/>
        <w:gridCol w:w="3408"/>
      </w:tblGrid>
      <w:tr>
        <w:tc>
          <w:tcPr>
            <w:tcW w:type="dxa" w:w="340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340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340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Tetracyclines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tetracycline, doxycycline, minocycline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in the 2nd and 3rd trimester of pregnancy.</w:t>
            </w:r>
            <w:r>
              <w:rPr>
                <w:b w:val="0"/>
                <w:i w:val="0"/>
                <w:sz w:val="18"/>
              </w:rPr>
              <w:t xml:space="preserve"> Also </w:t>
            </w:r>
            <w:r>
              <w:rPr>
                <w:b/>
                <w:i w:val="0"/>
                <w:sz w:val="18"/>
              </w:rPr>
              <w:t>photosensitivity</w:t>
            </w:r>
            <w:r>
              <w:rPr>
                <w:b w:val="0"/>
                <w:i w:val="0"/>
                <w:sz w:val="18"/>
              </w:rPr>
              <w:t xml:space="preserve">, and they </w:t>
            </w:r>
            <w:r>
              <w:rPr>
                <w:b/>
                <w:i w:val="0"/>
                <w:sz w:val="18"/>
              </w:rPr>
              <w:t>chelate with cations</w:t>
            </w:r>
            <w:r>
              <w:rPr>
                <w:b w:val="0"/>
                <w:i w:val="0"/>
                <w:sz w:val="18"/>
              </w:rPr>
              <w:t xml:space="preserve"> — iron, calcium and dairy block absorption.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Tetracyclines — for acne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Lecture 2 restates it harder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children under 8 years and in pregnant women.</w:t>
            </w:r>
            <w:r>
              <w:rPr>
                <w:b w:val="0"/>
                <w:i w:val="0"/>
                <w:sz w:val="18"/>
              </w:rPr>
              <w:t xml:space="preserve"> Lecture 2 words this as an outright contraindication where Lecture 1 says “avoid”.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Itraconazole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Sporanox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Teratogenic.</w:t>
            </w:r>
            <w:r>
              <w:rPr>
                <w:b w:val="0"/>
                <w:i w:val="0"/>
                <w:sz w:val="18"/>
              </w:rPr>
              <w:t xml:space="preserve"> Substrate for and inhibitor of </w:t>
            </w:r>
            <w:r>
              <w:rPr>
                <w:b/>
                <w:i w:val="0"/>
                <w:sz w:val="18"/>
              </w:rPr>
              <w:t>CYP3A4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104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Diflucan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Teratogenic in animals.</w:t>
            </w:r>
            <w:r>
              <w:rPr>
                <w:b w:val="0"/>
                <w:i w:val="0"/>
                <w:sz w:val="18"/>
              </w:rPr>
              <w:t xml:space="preserve"> Inhibits CYP3A4 and CYP2A4.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106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Voriconazole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Vfend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Teratogenic in animals.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Visual effects in 30%</w:t>
            </w:r>
            <w:r>
              <w:rPr>
                <w:b w:val="0"/>
                <w:i w:val="0"/>
                <w:sz w:val="18"/>
              </w:rPr>
              <w:t xml:space="preserve">, plus liver and renal effects. The intravenous vehicle </w:t>
            </w:r>
            <w:r>
              <w:rPr>
                <w:b/>
                <w:i w:val="0"/>
                <w:sz w:val="18"/>
              </w:rPr>
              <w:t>cyclodextrin accumulates in renal failure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107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Isotretinoin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Accutane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pregnancy and breastfeeding — men should avoid as well.</w:t>
            </w:r>
            <w:r>
              <w:rPr>
                <w:b w:val="0"/>
                <w:i w:val="0"/>
                <w:sz w:val="18"/>
              </w:rPr>
              <w:t xml:space="preserve"> Enrollment in </w:t>
            </w:r>
            <w:r>
              <w:rPr>
                <w:b/>
                <w:i w:val="0"/>
                <w:sz w:val="18"/>
              </w:rPr>
              <w:t>iPledge</w:t>
            </w:r>
            <w:r>
              <w:rPr>
                <w:b w:val="0"/>
                <w:i w:val="0"/>
                <w:sz w:val="18"/>
              </w:rPr>
              <w:t xml:space="preserve"> is required. </w:t>
            </w:r>
            <w:r>
              <w:rPr>
                <w:b/>
                <w:i w:val="0"/>
                <w:sz w:val="18"/>
              </w:rPr>
              <w:t>Monitor for signs of developing depression</w:t>
            </w:r>
            <w:r>
              <w:rPr>
                <w:b w:val="0"/>
                <w:i w:val="0"/>
                <w:sz w:val="18"/>
              </w:rPr>
              <w:t xml:space="preserve"> and for raised serum lipids.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retinoids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tretinoin, adapalene, tazarotene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during pregnancy.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Photosensitivity and severe sunburn.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Benzoyl peroxide inactivates tretinoin</w:t>
            </w:r>
            <w:r>
              <w:rPr>
                <w:b w:val="0"/>
                <w:i w:val="0"/>
                <w:sz w:val="18"/>
              </w:rPr>
              <w:t>, and tretinoin is photolabile so it is applied nightly.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24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Age-specific warnings the numbers to memorize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Three numbers carry this section:</w:t>
            </w:r>
            <w:r>
              <w:rPr>
                <w:b w:val="0"/>
                <w:i w:val="0"/>
              </w:rPr>
              <w:t xml:space="preserve"> </w:t>
            </w:r>
            <w:r>
              <w:rPr>
                <w:b/>
                <w:i w:val="0"/>
              </w:rPr>
              <w:t>30 days</w:t>
            </w:r>
            <w:r>
              <w:rPr>
                <w:b w:val="0"/>
                <w:i w:val="0"/>
              </w:rPr>
              <w:t xml:space="preserve"> (ceftriaxone in the newborn), </w:t>
            </w:r>
            <w:r>
              <w:rPr>
                <w:b/>
                <w:i w:val="0"/>
              </w:rPr>
              <w:t>8 years</w:t>
            </w:r>
            <w:r>
              <w:rPr>
                <w:b w:val="0"/>
                <w:i w:val="0"/>
              </w:rPr>
              <w:t xml:space="preserve"> (tetracyclines — teeth and skeletal growth) and </w:t>
            </w:r>
            <w:r>
              <w:rPr>
                <w:b/>
                <w:i w:val="0"/>
              </w:rPr>
              <w:t>18 years</w:t>
            </w:r>
            <w:r>
              <w:rPr>
                <w:b w:val="0"/>
                <w:i w:val="0"/>
              </w:rPr>
              <w:t xml:space="preserve"> (fluoroquinolones — tendon). If a stem gives you a child’s age, it is usually testing one of those three. The last row is not an age limit but a pediatric-only consequence: topical steroids can retard growth.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3408"/>
        <w:gridCol w:w="3408"/>
        <w:gridCol w:w="3408"/>
      </w:tblGrid>
      <w:tr>
        <w:tc>
          <w:tcPr>
            <w:tcW w:type="dxa" w:w="340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340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340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Ceftriaxone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Rocephin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Cannot be used during the first 30 days of life.</w:t>
            </w:r>
            <w:r>
              <w:rPr>
                <w:b w:val="0"/>
                <w:i w:val="0"/>
                <w:sz w:val="18"/>
              </w:rPr>
              <w:t xml:space="preserve"> Cefotaxime is preferred in neonatal fever or sepsis. No dosage adjustment is needed in renal insufficiency.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34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Tetracyclines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tetracycline, doxycycline, minocycline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under 8 years old</w:t>
            </w:r>
            <w:r>
              <w:rPr>
                <w:b w:val="0"/>
                <w:i w:val="0"/>
                <w:sz w:val="18"/>
              </w:rPr>
              <w:t xml:space="preserve"> — causes </w:t>
            </w:r>
            <w:r>
              <w:rPr>
                <w:b/>
                <w:i w:val="0"/>
                <w:sz w:val="18"/>
              </w:rPr>
              <w:t>discoloration of teeth</w:t>
            </w:r>
            <w:r>
              <w:rPr>
                <w:b w:val="0"/>
                <w:i w:val="0"/>
                <w:sz w:val="18"/>
              </w:rPr>
              <w:t xml:space="preserve"> (doxycycline more than the others) and </w:t>
            </w:r>
            <w:r>
              <w:rPr>
                <w:b/>
                <w:i w:val="0"/>
                <w:sz w:val="18"/>
              </w:rPr>
              <w:t>depression of skeletal growth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Tetracyclines — for acne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Lecture 2 restates it harder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children under 8 years and in pregnant women.</w:t>
            </w:r>
            <w:r>
              <w:rPr>
                <w:b w:val="0"/>
                <w:i w:val="0"/>
                <w:sz w:val="18"/>
              </w:rPr>
              <w:t xml:space="preserve"> Lecture 2 words this as an outright contraindication where Lecture 1 says “avoid”.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Fluoroquinolones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ciprofloxacin, levofloxacin, moxifloxacin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Tendonitis and Achilles tendon rupture.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Caution if under 18 years old.</w:t>
            </w:r>
            <w:r>
              <w:rPr>
                <w:b w:val="0"/>
                <w:i w:val="0"/>
                <w:sz w:val="18"/>
              </w:rPr>
              <w:t xml:space="preserve"> Also peripheral neuropathy and central nervous system toxicity — dizziness, insomnia, somnolence.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79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corticosteroids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Local: </w:t>
            </w:r>
            <w:r>
              <w:rPr>
                <w:b/>
                <w:i w:val="0"/>
                <w:sz w:val="18"/>
              </w:rPr>
              <w:t>skin atrophy, acne, rosacea, allergic dermatitis</w:t>
            </w:r>
            <w:r>
              <w:rPr>
                <w:b w:val="0"/>
                <w:i w:val="0"/>
                <w:sz w:val="18"/>
              </w:rPr>
              <w:t xml:space="preserve">. Systemic: </w:t>
            </w:r>
            <w:r>
              <w:rPr>
                <w:b/>
                <w:i w:val="0"/>
                <w:sz w:val="18"/>
              </w:rPr>
              <w:t>adrenal suppression, infections, hyperglycemia, glaucoma, cataracts, and growth retardation in children</w:t>
            </w:r>
            <w:r>
              <w:rPr>
                <w:b w:val="0"/>
                <w:i w:val="0"/>
                <w:sz w:val="18"/>
              </w:rPr>
              <w:t xml:space="preserve">. Risk rises with potency, duration, area covered and occlusiveness — </w:t>
            </w:r>
            <w:r>
              <w:rPr>
                <w:b/>
                <w:i w:val="0"/>
                <w:sz w:val="18"/>
              </w:rPr>
              <w:t>ointment &gt; cream &gt; lotion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Beta-lactams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Aminopenicillins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amoxicillin, ampicillin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</w:t>
            </w:r>
            <w:r>
              <w:rPr>
                <w:b w:val="0"/>
                <w:i w:val="0"/>
                <w:sz w:val="18"/>
              </w:rPr>
              <w:t xml:space="preserve"> in patients </w:t>
            </w:r>
            <w:r>
              <w:rPr>
                <w:b/>
                <w:i w:val="0"/>
                <w:sz w:val="18"/>
              </w:rPr>
              <w:t>allergic to penicillin</w:t>
            </w:r>
            <w:r>
              <w:rPr>
                <w:b w:val="0"/>
                <w:i w:val="0"/>
                <w:sz w:val="18"/>
              </w:rPr>
              <w:t xml:space="preserve">, and in a patient with a past history of </w:t>
            </w:r>
            <w:r>
              <w:rPr>
                <w:b/>
                <w:i w:val="0"/>
                <w:sz w:val="18"/>
              </w:rPr>
              <w:t>cholestatic jaundice or hepatic dysfunction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Aminopenicillins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amoxicillin, ampicillin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Reduces the effectiveness of </w:t>
            </w:r>
            <w:r>
              <w:rPr>
                <w:b/>
                <w:i w:val="0"/>
                <w:sz w:val="18"/>
              </w:rPr>
              <w:t>oral contraceptives</w:t>
            </w:r>
            <w:r>
              <w:rPr>
                <w:b w:val="0"/>
                <w:i w:val="0"/>
                <w:sz w:val="18"/>
              </w:rPr>
              <w:t xml:space="preserve"> — use backup birth control. Prolongs prothrombin time with anticoagulants.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Penicillins — class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Adverse reactions are </w:t>
            </w:r>
            <w:r>
              <w:rPr>
                <w:b/>
                <w:i w:val="0"/>
                <w:sz w:val="18"/>
              </w:rPr>
              <w:t>hypersensitivity reaction</w:t>
            </w:r>
            <w:r>
              <w:rPr>
                <w:b w:val="0"/>
                <w:i w:val="0"/>
                <w:sz w:val="18"/>
              </w:rPr>
              <w:t xml:space="preserve">, rash and diarrhea. Dosing is adjusted for </w:t>
            </w:r>
            <w:r>
              <w:rPr>
                <w:b/>
                <w:i w:val="0"/>
                <w:sz w:val="18"/>
              </w:rPr>
              <w:t>renal function</w:t>
            </w:r>
            <w:r>
              <w:rPr>
                <w:b w:val="0"/>
                <w:i w:val="0"/>
                <w:sz w:val="18"/>
              </w:rPr>
              <w:t>. Monitor renal and hepatic function and platelets.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Cephalosporins — class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Penicillin cross-sensitivity of approximately less than 1%</w:t>
            </w:r>
            <w:r>
              <w:rPr>
                <w:b w:val="0"/>
                <w:i w:val="0"/>
                <w:sz w:val="18"/>
              </w:rPr>
              <w:t xml:space="preserve"> — the number to know when a stem gives you a penicillin-allergic patient.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Ceftriaxone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Rocephin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/ do not use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Cannot be used during the first 30 days of life.</w:t>
            </w:r>
            <w:r>
              <w:rPr>
                <w:b w:val="0"/>
                <w:i w:val="0"/>
                <w:sz w:val="18"/>
              </w:rPr>
              <w:t xml:space="preserve"> Cefotaxime is preferred in neonatal fever or sepsis. No dosage adjustment is needed in renal insufficiency.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34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Carbapenems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imipenem, meropenem, ertapenem, doripenem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Monitor renal and hepatic function, full blood count for bleeding, signs of anaphylaxis — and </w:t>
            </w:r>
            <w:r>
              <w:rPr>
                <w:b/>
                <w:i w:val="0"/>
                <w:sz w:val="18"/>
              </w:rPr>
              <w:t>SEIZURES, specifically with imipenem</w:t>
            </w:r>
            <w:r>
              <w:rPr>
                <w:b w:val="0"/>
                <w:i w:val="0"/>
                <w:sz w:val="18"/>
              </w:rPr>
              <w:t>. That pairing is the one carbapenem fact most likely to be asked.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44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Aztreonam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monobactam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Safe exception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exception worth memorizing: </w:t>
            </w:r>
            <w:r>
              <w:rPr>
                <w:b/>
                <w:i w:val="0"/>
                <w:sz w:val="18"/>
              </w:rPr>
              <w:t>NO cross-reactivity with beta-lactams</w:t>
            </w:r>
            <w:r>
              <w:rPr>
                <w:b w:val="0"/>
                <w:i w:val="0"/>
                <w:sz w:val="18"/>
              </w:rPr>
              <w:t xml:space="preserve">, so it </w:t>
            </w:r>
            <w:r>
              <w:rPr>
                <w:b/>
                <w:i w:val="0"/>
                <w:sz w:val="18"/>
              </w:rPr>
              <w:t>can be used in truly penicillin-allergic patients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41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Vancomycin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Vancomycin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Infusion-related reaction — </w:t>
            </w:r>
            <w:r>
              <w:rPr>
                <w:b/>
                <w:i w:val="0"/>
                <w:sz w:val="18"/>
              </w:rPr>
              <w:t>“Red Man Syndrome”</w:t>
            </w:r>
            <w:r>
              <w:rPr>
                <w:b w:val="0"/>
                <w:i w:val="0"/>
                <w:sz w:val="18"/>
              </w:rPr>
              <w:t xml:space="preserve">, with fever, chills and phlebitis. The deck also titles a slide </w:t>
            </w:r>
            <w:r>
              <w:rPr>
                <w:b/>
                <w:i w:val="0"/>
                <w:sz w:val="18"/>
              </w:rPr>
              <w:t>“Vancomycin Infusion Syndrome”</w:t>
            </w:r>
            <w:r>
              <w:rPr>
                <w:b w:val="0"/>
                <w:i w:val="0"/>
                <w:sz w:val="18"/>
              </w:rPr>
              <w:t xml:space="preserve">. It is an </w:t>
            </w:r>
            <w:r>
              <w:rPr>
                <w:b/>
                <w:i w:val="0"/>
                <w:sz w:val="18"/>
              </w:rPr>
              <w:t>infusion-rate</w:t>
            </w:r>
            <w:r>
              <w:rPr>
                <w:b w:val="0"/>
                <w:i w:val="0"/>
                <w:sz w:val="18"/>
              </w:rPr>
              <w:t xml:space="preserve"> problem, which is why the drug is infused over 60 minutes.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Vancomycin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Monitor for </w:t>
            </w:r>
            <w:r>
              <w:rPr>
                <w:b/>
                <w:i w:val="0"/>
                <w:sz w:val="18"/>
              </w:rPr>
              <w:t>ototoxicity and nephrotoxicity</w:t>
            </w:r>
            <w:r>
              <w:rPr>
                <w:b w:val="0"/>
                <w:i w:val="0"/>
                <w:sz w:val="18"/>
              </w:rPr>
              <w:t xml:space="preserve">, and follow renal clearance. Requires therapeutic drug monitoring — trough drawn </w:t>
            </w:r>
            <w:r>
              <w:rPr>
                <w:b/>
                <w:i w:val="0"/>
                <w:sz w:val="18"/>
              </w:rPr>
              <w:t>15–30 minutes before the next dose</w:t>
            </w:r>
            <w:r>
              <w:rPr>
                <w:b w:val="0"/>
                <w:i w:val="0"/>
                <w:sz w:val="18"/>
              </w:rPr>
              <w:t>, around the 3rd or 4th dose.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Protein synthesis inhibitors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Macrolides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erythromycin, clarithromycin, azithromycin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QT prolongation and Torsades de pointes</w:t>
            </w:r>
            <w:r>
              <w:rPr>
                <w:b w:val="0"/>
                <w:i w:val="0"/>
                <w:sz w:val="18"/>
              </w:rPr>
              <w:t xml:space="preserve"> — worse in combination with </w:t>
            </w:r>
            <w:r>
              <w:rPr>
                <w:b/>
                <w:i w:val="0"/>
                <w:sz w:val="18"/>
              </w:rPr>
              <w:t>class Ia and III antiarrhythmics</w:t>
            </w:r>
            <w:r>
              <w:rPr>
                <w:b w:val="0"/>
                <w:i w:val="0"/>
                <w:sz w:val="18"/>
              </w:rPr>
              <w:t xml:space="preserve"> and with electrolyte abnormalities.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Macrolides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erythromycin, clarithromycin, azithromycin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Cholestatic hepatitis</w:t>
            </w:r>
            <w:r>
              <w:rPr>
                <w:b w:val="0"/>
                <w:i w:val="0"/>
                <w:sz w:val="18"/>
              </w:rPr>
              <w:t xml:space="preserve"> (rare, more with the estolate salt) and </w:t>
            </w:r>
            <w:r>
              <w:rPr>
                <w:b/>
                <w:i w:val="0"/>
                <w:sz w:val="18"/>
              </w:rPr>
              <w:t>transient hearing loss</w:t>
            </w:r>
            <w:r>
              <w:rPr>
                <w:b w:val="0"/>
                <w:i w:val="0"/>
                <w:sz w:val="18"/>
              </w:rPr>
              <w:t xml:space="preserve"> with large intravenous doses or in renal insufficiency.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Macrolides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erythromycin, clarithromycin, azithromycin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CYP3A4 interaction</w:t>
            </w:r>
            <w:r>
              <w:rPr>
                <w:b w:val="0"/>
                <w:i w:val="0"/>
                <w:sz w:val="18"/>
              </w:rPr>
              <w:t xml:space="preserve"> raises levels of carbamazepine, cyclosporine, digoxin, midazolam and theophylline. Erythromycin &gt; clarithromycin &gt; azithromycin. </w:t>
            </w:r>
            <w:r>
              <w:rPr>
                <w:b/>
                <w:i w:val="0"/>
                <w:sz w:val="18"/>
              </w:rPr>
              <w:t>Check the drug profile before prescribing.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Tetracyclines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tetracycline, doxycycline, minocycline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/ do not use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under 8 years old</w:t>
            </w:r>
            <w:r>
              <w:rPr>
                <w:b w:val="0"/>
                <w:i w:val="0"/>
                <w:sz w:val="18"/>
              </w:rPr>
              <w:t xml:space="preserve"> — causes </w:t>
            </w:r>
            <w:r>
              <w:rPr>
                <w:b/>
                <w:i w:val="0"/>
                <w:sz w:val="18"/>
              </w:rPr>
              <w:t>discoloration of teeth</w:t>
            </w:r>
            <w:r>
              <w:rPr>
                <w:b w:val="0"/>
                <w:i w:val="0"/>
                <w:sz w:val="18"/>
              </w:rPr>
              <w:t xml:space="preserve"> (doxycycline more than the others) and </w:t>
            </w:r>
            <w:r>
              <w:rPr>
                <w:b/>
                <w:i w:val="0"/>
                <w:sz w:val="18"/>
              </w:rPr>
              <w:t>depression of skeletal growth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Tetracyclines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tetracycline, doxycycline, minocycline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/ do not use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in the 2nd and 3rd trimester of pregnancy.</w:t>
            </w:r>
            <w:r>
              <w:rPr>
                <w:b w:val="0"/>
                <w:i w:val="0"/>
                <w:sz w:val="18"/>
              </w:rPr>
              <w:t xml:space="preserve"> Also </w:t>
            </w:r>
            <w:r>
              <w:rPr>
                <w:b/>
                <w:i w:val="0"/>
                <w:sz w:val="18"/>
              </w:rPr>
              <w:t>photosensitivity</w:t>
            </w:r>
            <w:r>
              <w:rPr>
                <w:b w:val="0"/>
                <w:i w:val="0"/>
                <w:sz w:val="18"/>
              </w:rPr>
              <w:t xml:space="preserve">, and they </w:t>
            </w:r>
            <w:r>
              <w:rPr>
                <w:b/>
                <w:i w:val="0"/>
                <w:sz w:val="18"/>
              </w:rPr>
              <w:t>chelate with cations</w:t>
            </w:r>
            <w:r>
              <w:rPr>
                <w:b w:val="0"/>
                <w:i w:val="0"/>
                <w:sz w:val="18"/>
              </w:rPr>
              <w:t xml:space="preserve"> — iron, calcium and dairy block absorption.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Clindamycin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Cleocin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Clostridium difficile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pseudomembranous colitis</w:t>
            </w:r>
            <w:r>
              <w:rPr>
                <w:b w:val="0"/>
                <w:i w:val="0"/>
                <w:sz w:val="18"/>
              </w:rPr>
              <w:t xml:space="preserve"> — the reaction this drug is known for. Also rash, neutropenia and thrombocytopenia.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Linezolid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Zyvox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Serotonin syndrome</w:t>
            </w:r>
            <w:r>
              <w:rPr>
                <w:b w:val="0"/>
                <w:i w:val="0"/>
                <w:sz w:val="18"/>
              </w:rPr>
              <w:t xml:space="preserve"> with </w:t>
            </w:r>
            <w:r>
              <w:rPr>
                <w:b/>
                <w:i w:val="0"/>
                <w:sz w:val="18"/>
              </w:rPr>
              <w:t>SSRIs, tyramine-containing foods and pseudoephedrine</w:t>
            </w:r>
            <w:r>
              <w:rPr>
                <w:b w:val="0"/>
                <w:i w:val="0"/>
                <w:sz w:val="18"/>
              </w:rPr>
              <w:t xml:space="preserve">. Also </w:t>
            </w:r>
            <w:r>
              <w:rPr>
                <w:b/>
                <w:i w:val="0"/>
                <w:sz w:val="18"/>
              </w:rPr>
              <w:t>thrombocytopenia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Aminoglycosides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gentamicin, tobramycin, amikacin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Renal toxicity and ototoxicity</w:t>
            </w:r>
            <w:r>
              <w:rPr>
                <w:b w:val="0"/>
                <w:i w:val="0"/>
                <w:sz w:val="18"/>
              </w:rPr>
              <w:t xml:space="preserve"> — renally adjusted, and they require therapeutic drug monitoring with peak and trough levels.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68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Fluoroquinolones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Fluoroquinolones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ciprofloxacin, levofloxacin, moxifloxacin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Tendonitis and Achilles tendon rupture.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Caution if under 18 years old.</w:t>
            </w:r>
            <w:r>
              <w:rPr>
                <w:b w:val="0"/>
                <w:i w:val="0"/>
                <w:sz w:val="18"/>
              </w:rPr>
              <w:t xml:space="preserve"> Also peripheral neuropathy and central nervous system toxicity — dizziness, insomnia, somnolence.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Fluoroquinolones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ciprofloxacin, levofloxacin, moxifloxacin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QT prolongation and Torsades de Pointes.</w:t>
            </w:r>
            <w:r>
              <w:rPr>
                <w:b w:val="0"/>
                <w:i w:val="0"/>
                <w:sz w:val="18"/>
              </w:rPr>
              <w:t xml:space="preserve"> Photosensitivity, and they </w:t>
            </w:r>
            <w:r>
              <w:rPr>
                <w:b/>
                <w:i w:val="0"/>
                <w:sz w:val="18"/>
              </w:rPr>
              <w:t>complex with cations</w:t>
            </w:r>
            <w:r>
              <w:rPr>
                <w:b w:val="0"/>
                <w:i w:val="0"/>
                <w:sz w:val="18"/>
              </w:rPr>
              <w:t xml:space="preserve"> — iron, antacids, multivitamins, calcium and dairy.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Moxifloxacin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Avelox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/ do not use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use for urinary tract infections</w:t>
            </w:r>
            <w:r>
              <w:rPr>
                <w:b w:val="0"/>
                <w:i w:val="0"/>
                <w:sz w:val="18"/>
              </w:rPr>
              <w:t xml:space="preserve"> — the one fluoroquinolone that does not cover them. It also has </w:t>
            </w:r>
            <w:r>
              <w:rPr>
                <w:b/>
                <w:i w:val="0"/>
                <w:sz w:val="18"/>
              </w:rPr>
              <w:t>no pseudomonas coverage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78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Other antibacterials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Trimethoprim / sulfamethoxazole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Septra, Bactrim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Stevens-Johnson syndrome and toxic epidermal necrolysis.</w:t>
            </w:r>
            <w:r>
              <w:rPr>
                <w:b w:val="0"/>
                <w:i w:val="0"/>
                <w:sz w:val="18"/>
              </w:rPr>
              <w:t xml:space="preserve"> Blood dyscrasias — thrombocytopenia, agranulocytosis, megaloblastic anemia. Hepatotoxicity and hyperbilirubinemia.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85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Trimethoprim / sulfamethoxazole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Septra, Bactrim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Raises phenytoin, rifampin and digoxin levels; causes </w:t>
            </w:r>
            <w:r>
              <w:rPr>
                <w:b/>
                <w:i w:val="0"/>
                <w:sz w:val="18"/>
              </w:rPr>
              <w:t>hypoglycemia with sulfonylureas</w:t>
            </w:r>
            <w:r>
              <w:rPr>
                <w:b w:val="0"/>
                <w:i w:val="0"/>
                <w:sz w:val="18"/>
              </w:rPr>
              <w:t xml:space="preserve">; and </w:t>
            </w:r>
            <w:r>
              <w:rPr>
                <w:b/>
                <w:i w:val="0"/>
                <w:sz w:val="18"/>
              </w:rPr>
              <w:t>significantly increases INR (international normalized ratio) with warfarin</w:t>
            </w:r>
            <w:r>
              <w:rPr>
                <w:b w:val="0"/>
                <w:i w:val="0"/>
                <w:sz w:val="18"/>
              </w:rPr>
              <w:t xml:space="preserve"> by inhibiting CYP2C9.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85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Metronidazole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Flagyl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Disulfiram-like reaction with ethanol.</w:t>
            </w:r>
            <w:r>
              <w:rPr>
                <w:b w:val="0"/>
                <w:i w:val="0"/>
                <w:sz w:val="18"/>
              </w:rPr>
              <w:t xml:space="preserve"> The single most testable fact about this drug — counsel the patient not to drink.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Polymyxin B and Polymyxin 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colistin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BLACK BOX WARNINGS</w:t>
            </w:r>
            <w:r>
              <w:rPr>
                <w:b w:val="0"/>
                <w:i w:val="0"/>
                <w:sz w:val="18"/>
              </w:rPr>
              <w:t xml:space="preserve"> for </w:t>
            </w:r>
            <w:r>
              <w:rPr>
                <w:b/>
                <w:i w:val="0"/>
                <w:sz w:val="18"/>
              </w:rPr>
              <w:t>nephrotoxicity, neurotoxicity and neuromuscular blockade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88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Antifungals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Echinocandins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caspofungin, micafungin, anidulafungin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Adverse reactions: </w:t>
            </w:r>
            <w:r>
              <w:rPr>
                <w:b/>
                <w:i w:val="0"/>
                <w:sz w:val="18"/>
              </w:rPr>
              <w:t>tachycardia, headache, insomnia, hypokalemia, hypomagnesemia and blood dyscrasias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Amphotericin B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Fever and chills</w:t>
            </w:r>
            <w:r>
              <w:rPr>
                <w:b w:val="0"/>
                <w:i w:val="0"/>
                <w:sz w:val="18"/>
              </w:rPr>
              <w:t xml:space="preserve"> from interleukin-1 and tumor necrosis factor — </w:t>
            </w:r>
            <w:r>
              <w:rPr>
                <w:b/>
                <w:i w:val="0"/>
                <w:sz w:val="18"/>
              </w:rPr>
              <w:t>pre-treat with paracetamol, antihistamines and corticosteroids</w:t>
            </w:r>
            <w:r>
              <w:rPr>
                <w:b w:val="0"/>
                <w:i w:val="0"/>
                <w:sz w:val="18"/>
              </w:rPr>
              <w:t xml:space="preserve">. Infused over 4 hours; </w:t>
            </w:r>
            <w:r>
              <w:rPr>
                <w:b/>
                <w:i w:val="0"/>
                <w:sz w:val="18"/>
              </w:rPr>
              <w:t>side effects limit treatment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Amphotericin B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Electrolyte abnormalities — hypokalemia and hypomagnesemia</w:t>
            </w:r>
            <w:r>
              <w:rPr>
                <w:b w:val="0"/>
                <w:i w:val="0"/>
                <w:sz w:val="18"/>
              </w:rPr>
              <w:t xml:space="preserve">, hypotension, uremia in 80% with decreased filtration, and </w:t>
            </w:r>
            <w:r>
              <w:rPr>
                <w:b/>
                <w:i w:val="0"/>
                <w:sz w:val="18"/>
              </w:rPr>
              <w:t>renal tubule damage — hydrate with normal saline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Itraconazole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Sporanox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/ do not use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Teratogenic.</w:t>
            </w:r>
            <w:r>
              <w:rPr>
                <w:b w:val="0"/>
                <w:i w:val="0"/>
                <w:sz w:val="18"/>
              </w:rPr>
              <w:t xml:space="preserve"> Substrate for and inhibitor of </w:t>
            </w:r>
            <w:r>
              <w:rPr>
                <w:b/>
                <w:i w:val="0"/>
                <w:sz w:val="18"/>
              </w:rPr>
              <w:t>CYP3A4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104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Diflucan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/ do not use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Teratogenic in animals.</w:t>
            </w:r>
            <w:r>
              <w:rPr>
                <w:b w:val="0"/>
                <w:i w:val="0"/>
                <w:sz w:val="18"/>
              </w:rPr>
              <w:t xml:space="preserve"> Inhibits CYP3A4 and CYP2A4.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Voriconazole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Vfend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/ do not use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Teratogenic in animals.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Visual effects in 30%</w:t>
            </w:r>
            <w:r>
              <w:rPr>
                <w:b w:val="0"/>
                <w:i w:val="0"/>
                <w:sz w:val="18"/>
              </w:rPr>
              <w:t xml:space="preserve">, plus liver and renal effects. The intravenous vehicle </w:t>
            </w:r>
            <w:r>
              <w:rPr>
                <w:b/>
                <w:i w:val="0"/>
                <w:sz w:val="18"/>
              </w:rPr>
              <w:t>cyclodextrin accumulates in renal failure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Posaconazole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Noxafil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QT prolongation</w:t>
            </w:r>
            <w:r>
              <w:rPr>
                <w:b w:val="0"/>
                <w:i w:val="0"/>
                <w:sz w:val="18"/>
              </w:rPr>
              <w:t>, fever, diarrhea, hypokalemia, hypomagnesemia and thrombocytopenia.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105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Ketoconazole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Inhibits CYP3A4 — significant drug interactions.</w:t>
            </w:r>
            <w:r>
              <w:rPr>
                <w:b w:val="0"/>
                <w:i w:val="0"/>
                <w:sz w:val="18"/>
              </w:rPr>
              <w:t xml:space="preserve"> Does not enter the central nervous system, and is now rarely used.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Flucytosine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5-flucytosine, Ancobon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Bone marrow suppression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hepatotoxicity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Griseofulvin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Induces CYP1A2 and CYP2C9.</w:t>
            </w:r>
            <w:r>
              <w:rPr>
                <w:b w:val="0"/>
                <w:i w:val="0"/>
                <w:sz w:val="18"/>
              </w:rPr>
              <w:t xml:space="preserve"> Headache in 15%, mental confusion, fatigue and blurred vision. Absorption increases with a </w:t>
            </w:r>
            <w:r>
              <w:rPr>
                <w:b/>
                <w:i w:val="0"/>
                <w:sz w:val="18"/>
              </w:rPr>
              <w:t>high-fat meal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111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Antivirals and anthelminthics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Acyclovir, valacyclovir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Zovirax, Valtrex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Crystallizes in the renal tubule — maintain hydration and renal function.</w:t>
            </w:r>
            <w:r>
              <w:rPr>
                <w:b w:val="0"/>
                <w:i w:val="0"/>
                <w:sz w:val="18"/>
              </w:rPr>
              <w:t xml:space="preserve"> Central nervous system effects include seizures, delirium and tremor; also bone marrow suppression.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Ganciclovir, valganciclovir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Cytovene, Valcyte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Neutropenia in 15–40%</w:t>
            </w:r>
            <w:r>
              <w:rPr>
                <w:b w:val="0"/>
                <w:i w:val="0"/>
                <w:sz w:val="18"/>
              </w:rPr>
              <w:t xml:space="preserve"> and thrombocytopenia. </w:t>
            </w:r>
            <w:r>
              <w:rPr>
                <w:b/>
                <w:i w:val="0"/>
                <w:sz w:val="18"/>
              </w:rPr>
              <w:t>33% of patients must stop intravenous treatment because of side effects.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125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Oseltamivir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Tamiflu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Requires renal dose adjustment.</w:t>
            </w:r>
            <w:r>
              <w:rPr>
                <w:b w:val="0"/>
                <w:i w:val="0"/>
                <w:sz w:val="18"/>
              </w:rPr>
              <w:t xml:space="preserve"> Oral only.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Albendazole, mebendazole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Albenza, Emverm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Very well tolerated, but rash including </w:t>
            </w:r>
            <w:r>
              <w:rPr>
                <w:b/>
                <w:i w:val="0"/>
                <w:sz w:val="18"/>
              </w:rPr>
              <w:t>Stevens-Johnson syndrome and toxic epidermal necrolysis</w:t>
            </w:r>
            <w:r>
              <w:rPr>
                <w:b w:val="0"/>
                <w:i w:val="0"/>
                <w:sz w:val="18"/>
              </w:rPr>
              <w:t xml:space="preserve"> is described.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115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Dermatology medications Dermatology Medications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Allylamines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naftifine, terbinafine (Lamisil)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deck records only </w:t>
            </w:r>
            <w:r>
              <w:rPr>
                <w:b/>
                <w:i w:val="0"/>
                <w:sz w:val="18"/>
              </w:rPr>
              <w:t>local irritation</w:t>
            </w:r>
            <w:r>
              <w:rPr>
                <w:b w:val="0"/>
                <w:i w:val="0"/>
                <w:sz w:val="18"/>
              </w:rPr>
              <w:t xml:space="preserve"> — no systemic contraindication is given for this class.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Tetracyclines — for acne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Lecture 2 restates it harder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children under 8 years and in pregnant women.</w:t>
            </w:r>
            <w:r>
              <w:rPr>
                <w:b w:val="0"/>
                <w:i w:val="0"/>
                <w:sz w:val="18"/>
              </w:rPr>
              <w:t xml:space="preserve"> Lecture 2 words this as an outright contraindication where Lecture 1 says “avoid”.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Isotretinoin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Accutane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pregnancy and breastfeeding — men should avoid as well.</w:t>
            </w:r>
            <w:r>
              <w:rPr>
                <w:b w:val="0"/>
                <w:i w:val="0"/>
                <w:sz w:val="18"/>
              </w:rPr>
              <w:t xml:space="preserve"> Enrollment in </w:t>
            </w:r>
            <w:r>
              <w:rPr>
                <w:b/>
                <w:i w:val="0"/>
                <w:sz w:val="18"/>
              </w:rPr>
              <w:t>iPledge</w:t>
            </w:r>
            <w:r>
              <w:rPr>
                <w:b w:val="0"/>
                <w:i w:val="0"/>
                <w:sz w:val="18"/>
              </w:rPr>
              <w:t xml:space="preserve"> is required. </w:t>
            </w:r>
            <w:r>
              <w:rPr>
                <w:b/>
                <w:i w:val="0"/>
                <w:sz w:val="18"/>
              </w:rPr>
              <w:t>Monitor for signs of developing depression</w:t>
            </w:r>
            <w:r>
              <w:rPr>
                <w:b w:val="0"/>
                <w:i w:val="0"/>
                <w:sz w:val="18"/>
              </w:rPr>
              <w:t xml:space="preserve"> and for raised serum lipids.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retinoids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tretinoin, adapalene, tazarotene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/ do not use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during pregnancy.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Photosensitivity and severe sunburn.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Benzoyl peroxide inactivates tretinoin</w:t>
            </w:r>
            <w:r>
              <w:rPr>
                <w:b w:val="0"/>
                <w:i w:val="0"/>
                <w:sz w:val="18"/>
              </w:rPr>
              <w:t>, and tretinoin is photolabile so it is applied nightly.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24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corticosteroids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Local: </w:t>
            </w:r>
            <w:r>
              <w:rPr>
                <w:b/>
                <w:i w:val="0"/>
                <w:sz w:val="18"/>
              </w:rPr>
              <w:t>skin atrophy, acne, rosacea, allergic dermatitis</w:t>
            </w:r>
            <w:r>
              <w:rPr>
                <w:b w:val="0"/>
                <w:i w:val="0"/>
                <w:sz w:val="18"/>
              </w:rPr>
              <w:t xml:space="preserve">. Systemic: </w:t>
            </w:r>
            <w:r>
              <w:rPr>
                <w:b/>
                <w:i w:val="0"/>
                <w:sz w:val="18"/>
              </w:rPr>
              <w:t>adrenal suppression, infections, hyperglycemia, glaucoma, cataracts, and growth retardation in children</w:t>
            </w:r>
            <w:r>
              <w:rPr>
                <w:b w:val="0"/>
                <w:i w:val="0"/>
                <w:sz w:val="18"/>
              </w:rPr>
              <w:t xml:space="preserve">. Risk rises with potency, duration, area covered and occlusiveness — </w:t>
            </w:r>
            <w:r>
              <w:rPr>
                <w:b/>
                <w:i w:val="0"/>
                <w:sz w:val="18"/>
              </w:rPr>
              <w:t>ointment &gt; cream &gt; lotion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immunomodulators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tacrolimus (Protopic), pimecrolimus (Elidel)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/ do not use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Possible cancer risk.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Avoid in patients with weakened immune systems.</w:t>
            </w:r>
            <w:r>
              <w:rPr>
                <w:b w:val="0"/>
                <w:i w:val="0"/>
                <w:sz w:val="18"/>
              </w:rPr>
              <w:t xml:space="preserve"> Second line after topical steroids; use a high-SPF (sun protection factor) sunscreen.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Polymyxin B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topical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/ do not use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using on open wounds or denuded skin in high doses</w:t>
            </w:r>
            <w:r>
              <w:rPr>
                <w:b w:val="0"/>
                <w:i w:val="0"/>
                <w:sz w:val="18"/>
              </w:rPr>
              <w:t xml:space="preserve"> — risk of </w:t>
            </w:r>
            <w:r>
              <w:rPr>
                <w:b/>
                <w:i w:val="0"/>
                <w:sz w:val="18"/>
              </w:rPr>
              <w:t>neurotoxicity and nephrotoxicity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Neomycin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topical aminoglycoside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Frequently causes sensitization</w:t>
            </w:r>
            <w:r>
              <w:rPr>
                <w:b w:val="0"/>
                <w:i w:val="0"/>
                <w:sz w:val="18"/>
              </w:rPr>
              <w:t xml:space="preserve">, and topical aminoglycosides </w:t>
            </w:r>
            <w:r>
              <w:rPr>
                <w:b/>
                <w:i w:val="0"/>
                <w:sz w:val="18"/>
              </w:rPr>
              <w:t>can accumulate systemically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Benzoyl peroxide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Can bleach hair, clothes</w:t>
            </w:r>
            <w:r>
              <w:rPr>
                <w:b w:val="0"/>
                <w:i w:val="0"/>
                <w:sz w:val="18"/>
              </w:rPr>
              <w:t>, and irritates skin and mucous membranes. Start at 2.5% once daily.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Intralesional and oral corticosteroids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Systemic absorption can occur → </w:t>
            </w:r>
            <w:r>
              <w:rPr>
                <w:b/>
                <w:i w:val="0"/>
                <w:sz w:val="18"/>
              </w:rPr>
              <w:t>adrenal suppression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local tissue atrophy</w:t>
            </w:r>
            <w:r>
              <w:rPr>
                <w:b w:val="0"/>
                <w:i w:val="0"/>
                <w:sz w:val="18"/>
              </w:rPr>
              <w:t xml:space="preserve">. Oral courses need </w:t>
            </w:r>
            <w:r>
              <w:rPr>
                <w:b/>
                <w:i w:val="0"/>
                <w:sz w:val="18"/>
              </w:rPr>
              <w:t>tapering to prevent flare-up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30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Autonomic — cholinergic ANS Pharmacology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Cholinergic agonists — class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bethanechol, carbachol, pilocarpine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Muscarinic excess causes </w:t>
            </w:r>
            <w:r>
              <w:rPr>
                <w:b/>
                <w:i w:val="0"/>
                <w:sz w:val="18"/>
              </w:rPr>
              <w:t>bronchospasm</w:t>
            </w:r>
            <w:r>
              <w:rPr>
                <w:b w:val="0"/>
                <w:i w:val="0"/>
                <w:sz w:val="18"/>
              </w:rPr>
              <w:t xml:space="preserve">, decreased blood pressure, salivation, sweating, flushing, nausea, abdominal pain and diarrhea — which is why these are a problem in </w:t>
            </w:r>
            <w:r>
              <w:rPr>
                <w:b/>
                <w:i w:val="0"/>
                <w:sz w:val="18"/>
              </w:rPr>
              <w:t>reactive airway disease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Acetylcholinesterase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neostigmine, pyridostigmine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Same muscarinic burden — </w:t>
            </w:r>
            <w:r>
              <w:rPr>
                <w:b/>
                <w:i w:val="0"/>
                <w:sz w:val="18"/>
              </w:rPr>
              <w:t>salivation, flushing, decreased blood pressure, nausea, abdominal pain, diarrhea and bronchospasm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Physostigmine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Antilirium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Convulsions at high doses</w:t>
            </w:r>
            <w:r>
              <w:rPr>
                <w:b w:val="0"/>
                <w:i w:val="0"/>
                <w:sz w:val="18"/>
              </w:rPr>
              <w:t xml:space="preserve">, bradycardia, decreased cardiac output, and </w:t>
            </w:r>
            <w:r>
              <w:rPr>
                <w:b/>
                <w:i w:val="0"/>
                <w:sz w:val="18"/>
              </w:rPr>
              <w:t>paralysis of skeletal muscle</w:t>
            </w:r>
            <w:r>
              <w:rPr>
                <w:b w:val="0"/>
                <w:i w:val="0"/>
                <w:sz w:val="18"/>
              </w:rPr>
              <w:t xml:space="preserve"> from acetylcholine accumulation.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Organophosphate poisoning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irreversible AChE inhibitors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Pralidoxime (Protopam) reactivates inhibited acetylcholinesterase</w:t>
            </w:r>
            <w:r>
              <w:rPr>
                <w:b w:val="0"/>
                <w:i w:val="0"/>
                <w:sz w:val="18"/>
              </w:rPr>
              <w:t xml:space="preserve"> — but it </w:t>
            </w:r>
            <w:r>
              <w:rPr>
                <w:b/>
                <w:i w:val="0"/>
                <w:sz w:val="18"/>
              </w:rPr>
              <w:t>does not penetrate the central nervous system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cannot overcome reversible inhibitors such as physostigmine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Atropine and antimuscarinics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</w:t>
            </w:r>
            <w:r>
              <w:rPr>
                <w:b/>
                <w:i w:val="0"/>
                <w:sz w:val="18"/>
              </w:rPr>
              <w:t>anticholinergic toxidrome</w:t>
            </w:r>
            <w:r>
              <w:rPr>
                <w:b w:val="0"/>
                <w:i w:val="0"/>
                <w:sz w:val="18"/>
              </w:rPr>
              <w:t xml:space="preserve">: </w:t>
            </w:r>
            <w:r>
              <w:rPr>
                <w:b/>
                <w:i w:val="0"/>
                <w:sz w:val="18"/>
              </w:rPr>
              <w:t>mad as a hatter</w:t>
            </w:r>
            <w:r>
              <w:rPr>
                <w:b w:val="0"/>
                <w:i w:val="0"/>
                <w:sz w:val="18"/>
              </w:rPr>
              <w:t xml:space="preserve"> (sedation, anxiety, hallucinations, seizures), </w:t>
            </w:r>
            <w:r>
              <w:rPr>
                <w:b/>
                <w:i w:val="0"/>
                <w:sz w:val="18"/>
              </w:rPr>
              <w:t>blind as a bat</w:t>
            </w:r>
            <w:r>
              <w:rPr>
                <w:b w:val="0"/>
                <w:i w:val="0"/>
                <w:sz w:val="18"/>
              </w:rPr>
              <w:t xml:space="preserve"> (mydriasis, blurry vision), </w:t>
            </w:r>
            <w:r>
              <w:rPr>
                <w:b/>
                <w:i w:val="0"/>
                <w:sz w:val="18"/>
              </w:rPr>
              <w:t>red as a beet</w:t>
            </w:r>
            <w:r>
              <w:rPr>
                <w:b w:val="0"/>
                <w:i w:val="0"/>
                <w:sz w:val="18"/>
              </w:rPr>
              <w:t xml:space="preserve"> (flushing), </w:t>
            </w:r>
            <w:r>
              <w:rPr>
                <w:b/>
                <w:i w:val="0"/>
                <w:sz w:val="18"/>
              </w:rPr>
              <w:t>dry as a bone</w:t>
            </w:r>
            <w:r>
              <w:rPr>
                <w:b w:val="0"/>
                <w:i w:val="0"/>
                <w:sz w:val="18"/>
              </w:rPr>
              <w:t xml:space="preserve"> (decreased secretions), </w:t>
            </w:r>
            <w:r>
              <w:rPr>
                <w:b/>
                <w:i w:val="0"/>
                <w:sz w:val="18"/>
              </w:rPr>
              <w:t>hot as Hades</w:t>
            </w:r>
            <w:r>
              <w:rPr>
                <w:b w:val="0"/>
                <w:i w:val="0"/>
                <w:sz w:val="18"/>
              </w:rPr>
              <w:t xml:space="preserve"> (hyperthermia), plus constipation, urinary retention and tachycardia.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Atropine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Adverse effects: </w:t>
            </w:r>
            <w:r>
              <w:rPr>
                <w:b/>
                <w:i w:val="0"/>
                <w:sz w:val="18"/>
              </w:rPr>
              <w:t>dry mouth, blurred vision, “sandy eyes”, urinary retention, constipation</w:t>
            </w:r>
            <w:r>
              <w:rPr>
                <w:b w:val="0"/>
                <w:i w:val="0"/>
                <w:sz w:val="18"/>
              </w:rPr>
              <w:t xml:space="preserve">, and central effects — </w:t>
            </w:r>
            <w:r>
              <w:rPr>
                <w:b/>
                <w:i w:val="0"/>
                <w:sz w:val="18"/>
              </w:rPr>
              <w:t>restlessness, confusion, hallucinations, delirium</w:t>
            </w:r>
            <w:r>
              <w:rPr>
                <w:b w:val="0"/>
                <w:i w:val="0"/>
                <w:sz w:val="18"/>
              </w:rPr>
              <w:t xml:space="preserve">. Dose-dependent heart rate: </w:t>
            </w:r>
            <w:r>
              <w:rPr>
                <w:b/>
                <w:i w:val="0"/>
                <w:sz w:val="18"/>
              </w:rPr>
              <w:t>bradycardia at lower doses, tachycardia at higher doses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Scopolamine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Transderm Scop patch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Wash hands thoroughly after placing the patch</w:t>
            </w:r>
            <w:r>
              <w:rPr>
                <w:b w:val="0"/>
                <w:i w:val="0"/>
                <w:sz w:val="18"/>
              </w:rPr>
              <w:t xml:space="preserve"> — touching the eye afterwards causes blurred vision. Effects otherwise similar to atropine.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54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Succinylcholine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Malignant hyperthermia</w:t>
            </w:r>
            <w:r>
              <w:rPr>
                <w:b w:val="0"/>
                <w:i w:val="0"/>
                <w:sz w:val="18"/>
              </w:rPr>
              <w:t xml:space="preserve"> with halothane in genetically susceptible people — muscular rigidity, metabolic acidosis, tachycardia and hyperpyrexia. </w:t>
            </w:r>
            <w:r>
              <w:rPr>
                <w:b/>
                <w:i w:val="0"/>
                <w:sz w:val="18"/>
              </w:rPr>
              <w:t>Treat by rapid cooling and dantrolene (Dantrium)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Succinylcholine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Hyperkalemia</w:t>
            </w:r>
            <w:r>
              <w:rPr>
                <w:b w:val="0"/>
                <w:i w:val="0"/>
                <w:sz w:val="18"/>
              </w:rPr>
              <w:t xml:space="preserve">, and </w:t>
            </w:r>
            <w:r>
              <w:rPr>
                <w:b/>
                <w:i w:val="0"/>
                <w:sz w:val="18"/>
              </w:rPr>
              <w:t>prolonged paralysis (apnea)</w:t>
            </w:r>
            <w:r>
              <w:rPr>
                <w:b w:val="0"/>
                <w:i w:val="0"/>
                <w:sz w:val="18"/>
              </w:rPr>
              <w:t xml:space="preserve"> in patients </w:t>
            </w:r>
            <w:r>
              <w:rPr>
                <w:b/>
                <w:i w:val="0"/>
                <w:sz w:val="18"/>
              </w:rPr>
              <w:t>genetically deficient in plasma cholinesterase</w:t>
            </w:r>
            <w:r>
              <w:rPr>
                <w:b w:val="0"/>
                <w:i w:val="0"/>
                <w:sz w:val="18"/>
              </w:rPr>
              <w:t xml:space="preserve"> or with electrolyte imbalance.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Atracurium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nondepolarizing blocker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Releases histamine</w:t>
            </w:r>
            <w:r>
              <w:rPr>
                <w:b w:val="0"/>
                <w:i w:val="0"/>
                <w:sz w:val="18"/>
              </w:rPr>
              <w:t xml:space="preserve"> — can produce a fall in blood pressure, flushing and </w:t>
            </w:r>
            <w:r>
              <w:rPr>
                <w:b/>
                <w:i w:val="0"/>
                <w:sz w:val="18"/>
              </w:rPr>
              <w:t>bronchoconstriction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65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Autonomic — adrenergic ANS Pharmacology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Epinephrine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Hyperthyroidism</w:t>
            </w:r>
            <w:r>
              <w:rPr>
                <w:b w:val="0"/>
                <w:i w:val="0"/>
                <w:sz w:val="18"/>
              </w:rPr>
              <w:t xml:space="preserve"> — enhanced cardiovascular actions. </w:t>
            </w:r>
            <w:r>
              <w:rPr>
                <w:b/>
                <w:i w:val="0"/>
                <w:sz w:val="18"/>
              </w:rPr>
              <w:t>Cocaine</w:t>
            </w:r>
            <w:r>
              <w:rPr>
                <w:b w:val="0"/>
                <w:i w:val="0"/>
                <w:sz w:val="18"/>
              </w:rPr>
              <w:t xml:space="preserve"> — exaggerated cardiovascular actions because reuptake is prevented. </w:t>
            </w:r>
            <w:r>
              <w:rPr>
                <w:b/>
                <w:i w:val="0"/>
                <w:sz w:val="18"/>
              </w:rPr>
              <w:t>Diabetes</w:t>
            </w:r>
            <w:r>
              <w:rPr>
                <w:b w:val="0"/>
                <w:i w:val="0"/>
                <w:sz w:val="18"/>
              </w:rPr>
              <w:t xml:space="preserve"> — increases release of endogenous glucose stores.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Epinephrine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Adverse effects: anxiety, fear, tension, headache, tremor; </w:t>
            </w:r>
            <w:r>
              <w:rPr>
                <w:b/>
                <w:i w:val="0"/>
                <w:sz w:val="18"/>
              </w:rPr>
              <w:t>cerebral hemorrhage from the rise in blood pressure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cardiac arrhythmias</w:t>
            </w:r>
            <w:r>
              <w:rPr>
                <w:b w:val="0"/>
                <w:i w:val="0"/>
                <w:sz w:val="18"/>
              </w:rPr>
              <w:t>; and pulmonary edema.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Norepinephrine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Extravasation causes blanching and sloughing of skin</w:t>
            </w:r>
            <w:r>
              <w:rPr>
                <w:b w:val="0"/>
                <w:i w:val="0"/>
                <w:sz w:val="18"/>
              </w:rPr>
              <w:t xml:space="preserve"> from extreme vasoconstriction — </w:t>
            </w:r>
            <w:r>
              <w:rPr>
                <w:b/>
                <w:i w:val="0"/>
                <w:sz w:val="18"/>
              </w:rPr>
              <w:t>treated with the alpha antagonist phentolamine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Dobutamine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Increases atrioventricular conduction — caution in atrial fibrillation.</w:t>
            </w:r>
            <w:r>
              <w:rPr>
                <w:b w:val="0"/>
                <w:i w:val="0"/>
                <w:sz w:val="18"/>
              </w:rPr>
              <w:t xml:space="preserve"> Tolerance may develop with prolonged use.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94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Clonidine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Catapres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Rebound hypertension with abrupt discontinuance.</w:t>
            </w:r>
            <w:r>
              <w:rPr>
                <w:b w:val="0"/>
                <w:i w:val="0"/>
                <w:sz w:val="18"/>
              </w:rPr>
              <w:t xml:space="preserve"> Also lethargy, sedation, constipation and xerostomia.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Alpha-1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prazosin, terazosin, doxazosin, tamsulosin, alfuzosin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“First-dose” syncope.</w:t>
            </w:r>
            <w:r>
              <w:rPr>
                <w:b w:val="0"/>
                <w:i w:val="0"/>
                <w:sz w:val="18"/>
              </w:rPr>
              <w:t xml:space="preserve"> Also dizziness, lack of energy, nasal congestion, headache, drowsiness and </w:t>
            </w:r>
            <w:r>
              <w:rPr>
                <w:b/>
                <w:i w:val="0"/>
                <w:sz w:val="18"/>
              </w:rPr>
              <w:t>orthostatic hypotension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Phenoxybenzamine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Epinephrine reversal</w:t>
            </w:r>
            <w:r>
              <w:rPr>
                <w:b w:val="0"/>
                <w:i w:val="0"/>
                <w:sz w:val="18"/>
              </w:rPr>
              <w:t xml:space="preserve"> — it blocks the alpha vasoconstriction of epinephrine but not its beta vasodilation, so blood pressure falls. Block is </w:t>
            </w:r>
            <w:r>
              <w:rPr>
                <w:b/>
                <w:i w:val="0"/>
                <w:sz w:val="18"/>
              </w:rPr>
              <w:t>irreversible</w:t>
            </w:r>
            <w:r>
              <w:rPr>
                <w:b w:val="0"/>
                <w:i w:val="0"/>
                <w:sz w:val="18"/>
              </w:rPr>
              <w:t xml:space="preserve">; the body must synthesize new receptors, taking </w:t>
            </w:r>
            <w:r>
              <w:rPr>
                <w:b/>
                <w:i w:val="0"/>
                <w:sz w:val="18"/>
              </w:rPr>
              <w:t>at least 24 hours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Propranolol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non-selective beta blocker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patients with chronic obstructive pulmonary disease or asthma</w:t>
            </w:r>
            <w:r>
              <w:rPr>
                <w:b w:val="0"/>
                <w:i w:val="0"/>
                <w:sz w:val="18"/>
              </w:rPr>
              <w:t xml:space="preserve"> — beta-2 blockade causes </w:t>
            </w:r>
            <w:r>
              <w:rPr>
                <w:b/>
                <w:i w:val="0"/>
                <w:sz w:val="18"/>
              </w:rPr>
              <w:t>bronchoconstriction</w:t>
            </w:r>
            <w:r>
              <w:rPr>
                <w:b w:val="0"/>
                <w:i w:val="0"/>
                <w:sz w:val="18"/>
              </w:rPr>
              <w:t>. This is the deck's clearest contraindication in Lecture 3.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115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Propranolol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non-selective beta blocker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Attenuates the normal physiologic response to hypoglycemia</w:t>
            </w:r>
            <w:r>
              <w:rPr>
                <w:b w:val="0"/>
                <w:i w:val="0"/>
                <w:sz w:val="18"/>
              </w:rPr>
              <w:t xml:space="preserve"> and causes </w:t>
            </w:r>
            <w:r>
              <w:rPr>
                <w:b/>
                <w:i w:val="0"/>
                <w:sz w:val="18"/>
              </w:rPr>
              <w:t>fasting hypoglycemia</w:t>
            </w:r>
            <w:r>
              <w:rPr>
                <w:b w:val="0"/>
                <w:i w:val="0"/>
                <w:sz w:val="18"/>
              </w:rPr>
              <w:t xml:space="preserve"> — the reason for care in diabetics. Decreases glycogenolysis and glucagon secretion; raises LDL cholesterol and triglycerides.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115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Propranolol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non-selective beta blocker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reaction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Arrhythmias if stopped abruptly</w:t>
            </w:r>
            <w:r>
              <w:rPr>
                <w:b w:val="0"/>
                <w:i w:val="0"/>
                <w:sz w:val="18"/>
              </w:rPr>
              <w:t>, from up-regulation of beta receptors — never stop a beta blocker suddenly. Also central effects: depression, hallucinations, vivid dreams and nightmares.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Selective beta-1 antagonists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atenolol, metoprolol, bisoprolol, esmolol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Cardioselectivity is LOST at higher doses</w:t>
            </w:r>
            <w:r>
              <w:rPr>
                <w:b w:val="0"/>
                <w:i w:val="0"/>
                <w:sz w:val="18"/>
              </w:rPr>
              <w:t xml:space="preserve"> — which is why “cardioselective” is not a free pass in a patient with airway disease. Useful for hypertension in </w:t>
            </w:r>
            <w:r>
              <w:rPr>
                <w:b/>
                <w:i w:val="0"/>
                <w:sz w:val="18"/>
              </w:rPr>
              <w:t>impaired pulmonary function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Labetalol and carvedilol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May cause orthostatic hypotension due to alpha-1 blockade.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Nicotine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Depolarizes autonomic ganglia — </w:t>
            </w:r>
            <w:r>
              <w:rPr>
                <w:b/>
                <w:i w:val="0"/>
                <w:sz w:val="18"/>
              </w:rPr>
              <w:t>stimulation first, then paralysis of all ganglia</w:t>
            </w:r>
            <w:r>
              <w:rPr>
                <w:b w:val="0"/>
                <w:i w:val="0"/>
                <w:sz w:val="18"/>
              </w:rPr>
              <w:t xml:space="preserve">. At higher doses </w:t>
            </w:r>
            <w:r>
              <w:rPr>
                <w:b/>
                <w:i w:val="0"/>
                <w:sz w:val="18"/>
              </w:rPr>
              <w:t>blood pressure falls</w:t>
            </w:r>
            <w:r>
              <w:rPr>
                <w:b w:val="0"/>
                <w:i w:val="0"/>
                <w:sz w:val="18"/>
              </w:rPr>
              <w:t xml:space="preserve"> and gastrointestinal and bladder activity </w:t>
            </w:r>
            <w:r>
              <w:rPr>
                <w:b/>
                <w:i w:val="0"/>
                <w:sz w:val="18"/>
              </w:rPr>
              <w:t>ceases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59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cites the deck and slide it came from, and is checked against that slide by </w:t>
      </w:r>
      <w:r>
        <w:rPr>
          <w:rFonts w:ascii="Consolas" w:hAnsi="Consolas"/>
          <w:b w:val="0"/>
          <w:i w:val="0"/>
          <w:sz w:val="18"/>
        </w:rPr>
        <w:t>tools/check_pharm_contra.py</w:t>
      </w:r>
      <w:r>
        <w:rPr>
          <w:b w:val="0"/>
          <w:i w:val="0"/>
        </w:rPr>
        <w:t xml:space="preserve"> before this page is written. Coverage is checked separately by </w:t>
      </w:r>
      <w:r>
        <w:rPr>
          <w:rFonts w:ascii="Consolas" w:hAnsi="Consolas"/>
          <w:b w:val="0"/>
          <w:i w:val="0"/>
          <w:sz w:val="18"/>
        </w:rPr>
        <w:t>tools/check_pharm_contra_coverage.py</w:t>
      </w:r>
      <w:r>
        <w:rPr>
          <w:b w:val="0"/>
          <w:i w:val="0"/>
        </w:rPr>
        <w:t xml:space="preserve">, which scans all 310 slides for anything a row missed.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