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Gram Coverage by Drug Class</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1 · Class of 2028</w:t>
      </w:r>
    </w:p>
    <w:p>
      <w:pPr>
        <w:spacing w:after="120"/>
      </w:pPr>
      <w:r>
        <w:rPr>
          <w:b w:val="0"/>
          <w:i w:val="0"/>
        </w:rPr>
        <w:t>Every antibiotic class in Lecture 1, with whether it covers gram-positives, gram-negatives and anaerobes — taken from the traffic-light table on each class slide. 26 classes: 8 lean gram-positive, 4 lean gram-negative, 13 cover both equally.</w:t>
      </w:r>
    </w:p>
    <w:p>
      <w:pPr>
        <w:spacing w:after="120"/>
      </w:pPr>
      <w:r>
        <w:rPr>
          <w:b w:val="0"/>
          <w:i w:val="0"/>
        </w:rPr>
        <w:t xml:space="preserve">Every verdict is </w:t>
      </w:r>
      <w:r>
        <w:rPr>
          <w:b/>
          <w:i w:val="0"/>
        </w:rPr>
        <w:t>read out of the lecture deck</w:t>
      </w:r>
      <w:r>
        <w:rPr>
          <w:b w:val="0"/>
          <w:i w:val="0"/>
        </w:rPr>
        <w:t xml:space="preserve"> — each class slide carries a traffic-light table and the color under each heading is what is printed here. The slide number is on every row.</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Where these judgments come from.</w:t>
            </w:r>
            <w:r>
              <w:rPr>
                <w:b w:val="0"/>
                <w:i w:val="0"/>
              </w:rPr>
              <w:t xml:space="preserve"> They are not mine and they are not inferred from the prose. Most antibiotic class slides carry a small three-column table — Gram Positive, Gram Negative, Anaerobes — with a colored circle under each heading, and this page prints those colors. Nothing in the slide text states which color sits under which heading, so each circle is matched to its column by position.</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Two shades of green, and one odd one.</w:t>
            </w:r>
            <w:r>
              <w:rPr>
                <w:b w:val="0"/>
                <w:i w:val="0"/>
              </w:rPr>
              <w:t xml:space="preserve"> The deck uses two greens interchangeably and both are shown here as </w:t>
            </w:r>
            <w:r>
              <w:rPr>
                <w:b/>
                <w:i w:val="0"/>
              </w:rPr>
              <w:t>covers</w:t>
            </w:r>
            <w:r>
              <w:rPr>
                <w:b w:val="0"/>
                <w:i w:val="0"/>
              </w:rPr>
              <w:t xml:space="preserve">. A third, lighter green appears on exactly one class — the tetracyclines, on all three columns at once — and is shown separately as </w:t>
            </w:r>
            <w:r>
              <w:rPr>
                <w:b/>
                <w:i w:val="0"/>
              </w:rPr>
              <w:t>moderate</w:t>
            </w:r>
            <w:r>
              <w:rPr>
                <w:b w:val="0"/>
                <w:i w:val="0"/>
              </w:rPr>
              <w:t>, because using it once and only across the board reads as deliberate rather than as a color slip.</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Color is never the only signal here.</w:t>
            </w:r>
            <w:r>
              <w:rPr>
                <w:b w:val="0"/>
                <w:i w:val="0"/>
              </w:rPr>
              <w:t xml:space="preserve"> Each cell carries its word as well as its color, because a red-and-green table is unreadable to a red-green color-blind reader.</w:t>
            </w:r>
          </w:p>
        </w:tc>
      </w:tr>
    </w:tbl>
    <w:p>
      <w:pPr>
        <w:spacing w:after="80"/>
      </w:pPr>
    </w:p>
    <w:p>
      <w:pPr>
        <w:pStyle w:val="Heading1"/>
        <w:spacing w:before="280" w:after="100"/>
      </w:pPr>
      <w:r>
        <w:rPr>
          <w:rFonts w:ascii="Georgia" w:hAnsi="Georgia"/>
          <w:color w:val="6B3524"/>
        </w:rPr>
        <w:t>The rule the whole cephalosporin block turns on slide 31</w:t>
      </w:r>
    </w:p>
    <w:p>
      <w:pPr>
        <w:pStyle w:val="ListBullet"/>
        <w:spacing w:after="40"/>
      </w:pPr>
      <w:r>
        <w:rPr>
          <w:b w:val="0"/>
          <w:i w:val="0"/>
          <w:sz w:val="20"/>
        </w:rPr>
        <w:t xml:space="preserve">As one moves up in cephalosporin generation, </w:t>
      </w:r>
      <w:r>
        <w:rPr>
          <w:b/>
          <w:i w:val="0"/>
          <w:sz w:val="20"/>
        </w:rPr>
        <w:t>more gram-negative activity</w:t>
      </w:r>
      <w:r>
        <w:rPr>
          <w:b w:val="0"/>
          <w:i w:val="0"/>
          <w:sz w:val="20"/>
        </w:rPr>
        <w:t xml:space="preserve"> is seen</w:t>
      </w:r>
    </w:p>
    <w:p>
      <w:pPr>
        <w:pStyle w:val="ListBullet"/>
        <w:spacing w:after="40"/>
      </w:pPr>
      <w:r>
        <w:rPr>
          <w:b w:val="0"/>
          <w:i w:val="0"/>
          <w:sz w:val="20"/>
        </w:rPr>
        <w:t xml:space="preserve">Consequently, </w:t>
      </w:r>
      <w:r>
        <w:rPr>
          <w:b/>
          <w:i w:val="0"/>
          <w:sz w:val="20"/>
        </w:rPr>
        <w:t>gram-positive activity is decreased</w:t>
      </w:r>
      <w:r>
        <w:rPr>
          <w:b w:val="0"/>
          <w:i w:val="0"/>
          <w:sz w:val="20"/>
        </w:rPr>
        <w:t xml:space="preserve"> advancing in generation</w:t>
      </w:r>
    </w:p>
    <w:p>
      <w:pPr>
        <w:pStyle w:val="ListBullet"/>
        <w:spacing w:after="40"/>
      </w:pPr>
      <w:r>
        <w:rPr>
          <w:b/>
          <w:i w:val="0"/>
          <w:sz w:val="20"/>
        </w:rPr>
        <w:t>4th generation has gram-negative activity without sacrificing gram-positive activity</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Read the table below against that.</w:t>
            </w:r>
            <w:r>
              <w:rPr>
                <w:b w:val="0"/>
                <w:i w:val="0"/>
              </w:rPr>
              <w:t xml:space="preserve"> First generation is the strong gram-positive agent; by third generation the gram-negative cover is better and the gram-positive has been given away; </w:t>
            </w:r>
            <w:r>
              <w:rPr>
                <w:b/>
                <w:i w:val="0"/>
              </w:rPr>
              <w:t>fourth generation is the one that breaks the trade-off</w:t>
            </w:r>
            <w:r>
              <w:rPr>
                <w:b w:val="0"/>
                <w:i w:val="0"/>
              </w:rPr>
              <w:t>, and fifth is where MRSA cover appears.</w:t>
            </w:r>
          </w:p>
        </w:tc>
      </w:tr>
    </w:tbl>
    <w:p>
      <w:pPr>
        <w:spacing w:after="80"/>
      </w:pPr>
    </w:p>
    <w:p>
      <w:pPr>
        <w:pStyle w:val="Heading1"/>
        <w:spacing w:before="280" w:after="100"/>
      </w:pPr>
      <w:r>
        <w:rPr>
          <w:rFonts w:ascii="Georgia" w:hAnsi="Georgia"/>
          <w:color w:val="6B3524"/>
        </w:rPr>
        <w:t>Why this is the axis to revise from the exam review</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val="0"/>
              </w:rPr>
              <w:t xml:space="preserve">At the review session the evening before the paper, Dr. Wood said he is </w:t>
            </w:r>
            <w:r>
              <w:rPr>
                <w:b/>
                <w:i w:val="0"/>
              </w:rPr>
              <w:t>not</w:t>
            </w:r>
            <w:r>
              <w:rPr>
                <w:b w:val="0"/>
                <w:i w:val="0"/>
              </w:rPr>
              <w:t xml:space="preserve"> asking which single drug treats one named organism. He is asking whether an agent covers gram-positives, gram-negatives, anaerobes or atypicals — and he described the question outright: </w:t>
            </w:r>
            <w:r>
              <w:rPr>
                <w:b w:val="0"/>
                <w:i/>
              </w:rPr>
              <w:t>“a patient has an infection, a skin infection. Do you think it’s a gram-positive bacteria? Which one of these would be most likely to treat it?”</w:t>
            </w:r>
            <w:r>
              <w:rPr>
                <w:b w:val="0"/>
                <w:i w:val="0"/>
              </w:rPr>
              <w:t xml:space="preserve">, built from </w:t>
            </w:r>
            <w:r>
              <w:rPr>
                <w:b/>
                <w:i w:val="0"/>
              </w:rPr>
              <w:t>three agents with strictly gram-negative coverage and one good gram-positive</w:t>
            </w:r>
            <w:r>
              <w:rPr>
                <w:b w:val="0"/>
                <w:i w:val="0"/>
              </w:rPr>
              <w:t xml:space="preserve">. </w:t>
            </w:r>
            <w:r>
              <w:rPr>
                <w:b w:val="0"/>
                <w:i w:val="0"/>
              </w:rPr>
              <w:t>The full review is here.</w:t>
            </w:r>
          </w:p>
        </w:tc>
      </w:tr>
    </w:tbl>
    <w:p>
      <w:pPr>
        <w:spacing w:after="80"/>
      </w:pPr>
    </w:p>
    <w:p>
      <w:pPr>
        <w:pStyle w:val="Heading1"/>
        <w:spacing w:before="280" w:after="100"/>
      </w:pPr>
      <w:r>
        <w:rPr>
          <w:rFonts w:ascii="Georgia" w:hAnsi="Georgia"/>
          <w:color w:val="6B3524"/>
        </w:rPr>
        <w:t>All 26 classes read from the deck’s own traffic lights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6B3524"/>
          </w:tcPr>
          <w:p>
            <w:pPr>
              <w:spacing w:after="40"/>
            </w:pPr>
            <w:r>
              <w:rPr>
                <w:b/>
                <w:color w:val="FFFFFF"/>
                <w:sz w:val="18"/>
              </w:rPr>
            </w:r>
            <w:r>
              <w:rPr>
                <w:b/>
                <w:i w:val="0"/>
                <w:color w:val="FFFFFF"/>
                <w:sz w:val="18"/>
              </w:rPr>
              <w:t>Class &amp; drugs</w:t>
            </w:r>
          </w:p>
        </w:tc>
        <w:tc>
          <w:tcPr>
            <w:tcW w:type="dxa" w:w="2078"/>
            <w:shd w:val="clear" w:color="auto" w:fill="6B3524"/>
          </w:tcPr>
          <w:p>
            <w:pPr>
              <w:spacing w:after="40"/>
            </w:pPr>
            <w:r>
              <w:rPr>
                <w:b/>
                <w:color w:val="FFFFFF"/>
                <w:sz w:val="18"/>
              </w:rPr>
            </w:r>
            <w:r>
              <w:rPr>
                <w:b/>
                <w:i w:val="0"/>
                <w:color w:val="FFFFFF"/>
                <w:sz w:val="18"/>
              </w:rPr>
              <w:t>Gram +</w:t>
            </w:r>
          </w:p>
        </w:tc>
        <w:tc>
          <w:tcPr>
            <w:tcW w:type="dxa" w:w="2078"/>
            <w:shd w:val="clear" w:color="auto" w:fill="6B3524"/>
          </w:tcPr>
          <w:p>
            <w:pPr>
              <w:spacing w:after="40"/>
            </w:pPr>
            <w:r>
              <w:rPr>
                <w:b/>
                <w:color w:val="FFFFFF"/>
                <w:sz w:val="18"/>
              </w:rPr>
            </w:r>
            <w:r>
              <w:rPr>
                <w:b/>
                <w:i w:val="0"/>
                <w:color w:val="FFFFFF"/>
                <w:sz w:val="18"/>
              </w:rPr>
              <w:t>Gram −</w:t>
            </w:r>
          </w:p>
        </w:tc>
        <w:tc>
          <w:tcPr>
            <w:tcW w:type="dxa" w:w="2078"/>
            <w:shd w:val="clear" w:color="auto" w:fill="6B3524"/>
          </w:tcPr>
          <w:p>
            <w:pPr>
              <w:spacing w:after="40"/>
            </w:pPr>
            <w:r>
              <w:rPr>
                <w:b/>
                <w:color w:val="FFFFFF"/>
                <w:sz w:val="18"/>
              </w:rPr>
            </w:r>
            <w:r>
              <w:rPr>
                <w:b/>
                <w:i w:val="0"/>
                <w:color w:val="FFFFFF"/>
                <w:sz w:val="18"/>
              </w:rPr>
              <w:t>Anaerobes</w:t>
            </w:r>
          </w:p>
        </w:tc>
        <w:tc>
          <w:tcPr>
            <w:tcW w:type="dxa" w:w="2078"/>
            <w:shd w:val="clear" w:color="auto" w:fill="6B3524"/>
          </w:tcPr>
          <w:p>
            <w:pPr>
              <w:spacing w:after="40"/>
            </w:pPr>
            <w:r>
              <w:rPr>
                <w:b/>
                <w:color w:val="FFFFFF"/>
                <w:sz w:val="18"/>
              </w:rPr>
            </w:r>
            <w:r>
              <w:rPr>
                <w:b/>
                <w:i w:val="0"/>
                <w:color w:val="FFFFFF"/>
                <w:sz w:val="18"/>
              </w:rPr>
              <w:t>Leans</w:t>
            </w:r>
          </w:p>
        </w:tc>
        <w:tc>
          <w:tcPr>
            <w:tcW w:type="dxa" w:w="2078"/>
            <w:shd w:val="clear" w:color="auto" w:fill="6B3524"/>
          </w:tcPr>
          <w:p>
            <w:pPr>
              <w:spacing w:after="40"/>
            </w:pPr>
            <w:r>
              <w:rPr>
                <w:b/>
                <w:color w:val="FFFFFF"/>
                <w:sz w:val="18"/>
              </w:rPr>
            </w:r>
            <w:r>
              <w:rPr>
                <w:b/>
                <w:i w:val="0"/>
                <w:color w:val="FFFFFF"/>
                <w:sz w:val="18"/>
              </w:rPr>
              <w:t>What that means</w:t>
            </w:r>
          </w:p>
        </w:tc>
        <w:tc>
          <w:tcPr>
            <w:tcW w:type="dxa" w:w="2078"/>
            <w:shd w:val="clear" w:color="auto" w:fill="6B3524"/>
          </w:tcPr>
          <w:p>
            <w:pPr>
              <w:spacing w:after="40"/>
            </w:pPr>
            <w:r>
              <w:rPr>
                <w:b/>
                <w:color w:val="FFFFFF"/>
                <w:sz w:val="18"/>
              </w:rPr>
            </w:r>
            <w:r>
              <w:rPr>
                <w:b/>
                <w:i w:val="0"/>
                <w:color w:val="FFFFFF"/>
                <w:sz w:val="18"/>
              </w:rPr>
              <w:t>Slide</w:t>
            </w:r>
          </w:p>
        </w:tc>
      </w:tr>
      <w:tr>
        <w:tc>
          <w:tcPr>
            <w:tcW w:type="dxa" w:w="2078"/>
          </w:tcPr>
          <w:p>
            <w:pPr>
              <w:spacing w:after="40"/>
            </w:pPr>
            <w:r>
              <w:rPr>
                <w:sz w:val="18"/>
              </w:rPr>
            </w:r>
            <w:r>
              <w:rPr>
                <w:b/>
                <w:i w:val="0"/>
                <w:sz w:val="18"/>
              </w:rPr>
              <w:t>Natural penicillins</w:t>
            </w:r>
            <w:r>
              <w:rPr>
                <w:sz w:val="18"/>
              </w:rPr>
              <w:br/>
            </w:r>
            <w:r>
              <w:rPr>
                <w:b w:val="0"/>
                <w:i w:val="0"/>
                <w:sz w:val="18"/>
              </w:rPr>
              <w:t>penicillin G, penicillin V</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partial</w:t>
            </w:r>
          </w:p>
        </w:tc>
        <w:tc>
          <w:tcPr>
            <w:tcW w:type="dxa" w:w="2078"/>
          </w:tcPr>
          <w:p>
            <w:pPr>
              <w:spacing w:after="40"/>
            </w:pPr>
            <w:r>
              <w:rPr>
                <w:sz w:val="18"/>
              </w:rPr>
            </w:r>
            <w:r>
              <w:rPr>
                <w:b w:val="0"/>
                <w:i w:val="0"/>
                <w:sz w:val="18"/>
              </w:rPr>
              <w:t>Mainly gram-positive</w:t>
            </w:r>
          </w:p>
        </w:tc>
        <w:tc>
          <w:tcPr>
            <w:tcW w:type="dxa" w:w="2078"/>
          </w:tcPr>
          <w:p>
            <w:pPr>
              <w:spacing w:after="40"/>
            </w:pPr>
            <w:r>
              <w:rPr>
                <w:sz w:val="18"/>
              </w:rPr>
            </w:r>
            <w:r>
              <w:rPr>
                <w:b w:val="0"/>
                <w:i w:val="0"/>
                <w:sz w:val="18"/>
              </w:rPr>
              <w:t xml:space="preserve">Good against gram-positive </w:t>
            </w:r>
            <w:r>
              <w:rPr>
                <w:b/>
                <w:i w:val="0"/>
                <w:sz w:val="18"/>
              </w:rPr>
              <w:t>cocci</w:t>
            </w:r>
            <w:r>
              <w:rPr>
                <w:b w:val="0"/>
                <w:i w:val="0"/>
                <w:sz w:val="18"/>
              </w:rPr>
              <w:t xml:space="preserve">, but </w:t>
            </w:r>
            <w:r>
              <w:rPr>
                <w:b/>
                <w:i w:val="0"/>
                <w:sz w:val="18"/>
              </w:rPr>
              <w:t>no staph coverage</w:t>
            </w:r>
            <w:r>
              <w:rPr>
                <w:b w:val="0"/>
                <w:i w:val="0"/>
                <w:sz w:val="18"/>
              </w:rPr>
              <w:t>. Drug of choice for syphilis, gas gangrene and meningococcus. No activity against aerobic gram-negatives.</w:t>
            </w:r>
          </w:p>
        </w:tc>
        <w:tc>
          <w:tcPr>
            <w:tcW w:type="dxa" w:w="2078"/>
          </w:tcPr>
          <w:p>
            <w:pPr>
              <w:spacing w:after="40"/>
            </w:pPr>
            <w:r>
              <w:rPr>
                <w:sz w:val="18"/>
              </w:rPr>
            </w:r>
            <w:r>
              <w:rPr>
                <w:b w:val="0"/>
                <w:i w:val="0"/>
                <w:sz w:val="18"/>
              </w:rPr>
              <w:t>17</w:t>
            </w:r>
          </w:p>
        </w:tc>
      </w:tr>
      <w:tr>
        <w:tc>
          <w:tcPr>
            <w:tcW w:type="dxa" w:w="2078"/>
          </w:tcPr>
          <w:p>
            <w:pPr>
              <w:spacing w:after="40"/>
            </w:pPr>
            <w:r>
              <w:rPr>
                <w:sz w:val="18"/>
              </w:rPr>
            </w:r>
            <w:r>
              <w:rPr>
                <w:b/>
                <w:i w:val="0"/>
                <w:sz w:val="18"/>
              </w:rPr>
              <w:t>Aminopenicillins</w:t>
            </w:r>
            <w:r>
              <w:rPr>
                <w:sz w:val="18"/>
              </w:rPr>
              <w:br/>
            </w:r>
            <w:r>
              <w:rPr>
                <w:b w:val="0"/>
                <w:i w:val="0"/>
                <w:sz w:val="18"/>
              </w:rPr>
              <w:t>ampicillin, amoxicillin</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partial</w:t>
            </w:r>
          </w:p>
        </w:tc>
        <w:tc>
          <w:tcPr>
            <w:tcW w:type="dxa" w:w="2078"/>
          </w:tcPr>
          <w:p>
            <w:pPr>
              <w:spacing w:after="40"/>
            </w:pPr>
            <w:r>
              <w:rPr>
                <w:sz w:val="18"/>
              </w:rPr>
            </w:r>
            <w:r>
              <w:rPr>
                <w:b w:val="0"/>
                <w:i w:val="0"/>
                <w:sz w:val="18"/>
              </w:rPr>
              <w:t>Mainly gram-positive</w:t>
            </w:r>
          </w:p>
        </w:tc>
        <w:tc>
          <w:tcPr>
            <w:tcW w:type="dxa" w:w="2078"/>
          </w:tcPr>
          <w:p>
            <w:pPr>
              <w:spacing w:after="40"/>
            </w:pPr>
            <w:r>
              <w:rPr>
                <w:sz w:val="18"/>
              </w:rPr>
            </w:r>
            <w:r>
              <w:rPr>
                <w:b w:val="0"/>
                <w:i w:val="0"/>
                <w:sz w:val="18"/>
              </w:rPr>
              <w:t xml:space="preserve">As the natural penicillins, plus </w:t>
            </w:r>
            <w:r>
              <w:rPr>
                <w:b/>
                <w:i w:val="0"/>
                <w:sz w:val="18"/>
              </w:rPr>
              <w:t>some gram-negative aerobes</w:t>
            </w:r>
            <w:r>
              <w:rPr>
                <w:b w:val="0"/>
                <w:i w:val="0"/>
                <w:sz w:val="18"/>
              </w:rPr>
              <w:t xml:space="preserve">. Drug of choice for Enterococcus, Listeria and endocarditis prophylaxis. Still </w:t>
            </w:r>
            <w:r>
              <w:rPr>
                <w:b/>
                <w:i w:val="0"/>
                <w:sz w:val="18"/>
              </w:rPr>
              <w:t>no staph coverage</w:t>
            </w:r>
            <w:r>
              <w:rPr>
                <w:b w:val="0"/>
                <w:i w:val="0"/>
                <w:sz w:val="18"/>
              </w:rPr>
              <w:t>.</w:t>
            </w:r>
          </w:p>
        </w:tc>
        <w:tc>
          <w:tcPr>
            <w:tcW w:type="dxa" w:w="2078"/>
          </w:tcPr>
          <w:p>
            <w:pPr>
              <w:spacing w:after="40"/>
            </w:pPr>
            <w:r>
              <w:rPr>
                <w:sz w:val="18"/>
              </w:rPr>
            </w:r>
            <w:r>
              <w:rPr>
                <w:b w:val="0"/>
                <w:i w:val="0"/>
                <w:sz w:val="18"/>
              </w:rPr>
              <w:t>19</w:t>
            </w:r>
          </w:p>
        </w:tc>
      </w:tr>
      <w:tr>
        <w:tc>
          <w:tcPr>
            <w:tcW w:type="dxa" w:w="2078"/>
          </w:tcPr>
          <w:p>
            <w:pPr>
              <w:spacing w:after="40"/>
            </w:pPr>
            <w:r>
              <w:rPr>
                <w:sz w:val="18"/>
              </w:rPr>
            </w:r>
            <w:r>
              <w:rPr>
                <w:b/>
                <w:i w:val="0"/>
                <w:sz w:val="18"/>
              </w:rPr>
              <w:t>Aminopenicillin + beta-lactamase inhibitor</w:t>
            </w:r>
            <w:r>
              <w:rPr>
                <w:sz w:val="18"/>
              </w:rPr>
              <w:br/>
            </w:r>
            <w:r>
              <w:rPr>
                <w:b w:val="0"/>
                <w:i w:val="0"/>
                <w:sz w:val="18"/>
              </w:rPr>
              <w:t>amoxicillin/clavulanate, ampicillin/sulbactam</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partial</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Mainly gram-positive</w:t>
            </w:r>
          </w:p>
        </w:tc>
        <w:tc>
          <w:tcPr>
            <w:tcW w:type="dxa" w:w="2078"/>
          </w:tcPr>
          <w:p>
            <w:pPr>
              <w:spacing w:after="40"/>
            </w:pPr>
            <w:r>
              <w:rPr>
                <w:sz w:val="18"/>
              </w:rPr>
            </w:r>
            <w:r>
              <w:rPr>
                <w:b/>
                <w:i w:val="0"/>
                <w:sz w:val="18"/>
              </w:rPr>
              <w:t>Adding the inhibitor buys anaerobes</w:t>
            </w:r>
            <w:r>
              <w:rPr>
                <w:b w:val="0"/>
                <w:i w:val="0"/>
                <w:sz w:val="18"/>
              </w:rPr>
              <w:t xml:space="preserve"> (including Bacteroides) and </w:t>
            </w:r>
            <w:r>
              <w:rPr>
                <w:b/>
                <w:i w:val="0"/>
                <w:sz w:val="18"/>
              </w:rPr>
              <w:t>MSSA</w:t>
            </w:r>
            <w:r>
              <w:rPr>
                <w:b w:val="0"/>
                <w:i w:val="0"/>
                <w:sz w:val="18"/>
              </w:rPr>
              <w:t>. Drug of choice for skin and soft tissue, diabetic foot, and animal or human bites.</w:t>
            </w:r>
          </w:p>
        </w:tc>
        <w:tc>
          <w:tcPr>
            <w:tcW w:type="dxa" w:w="2078"/>
          </w:tcPr>
          <w:p>
            <w:pPr>
              <w:spacing w:after="40"/>
            </w:pPr>
            <w:r>
              <w:rPr>
                <w:sz w:val="18"/>
              </w:rPr>
            </w:r>
            <w:r>
              <w:rPr>
                <w:b w:val="0"/>
                <w:i w:val="0"/>
                <w:sz w:val="18"/>
              </w:rPr>
              <w:t>25</w:t>
            </w:r>
          </w:p>
        </w:tc>
      </w:tr>
      <w:tr>
        <w:tc>
          <w:tcPr>
            <w:tcW w:type="dxa" w:w="2078"/>
          </w:tcPr>
          <w:p>
            <w:pPr>
              <w:spacing w:after="40"/>
            </w:pPr>
            <w:r>
              <w:rPr>
                <w:sz w:val="18"/>
              </w:rPr>
            </w:r>
            <w:r>
              <w:rPr>
                <w:b/>
                <w:i w:val="0"/>
                <w:sz w:val="18"/>
              </w:rPr>
              <w:t>Penicillinase-resistant penicillins</w:t>
            </w:r>
            <w:r>
              <w:rPr>
                <w:sz w:val="18"/>
              </w:rPr>
              <w:br/>
            </w:r>
            <w:r>
              <w:rPr>
                <w:b w:val="0"/>
                <w:i w:val="0"/>
                <w:sz w:val="18"/>
              </w:rPr>
              <w:t>nafcillin, oxacillin, dicloxacillin</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Mainly gram-positive</w:t>
            </w:r>
          </w:p>
        </w:tc>
        <w:tc>
          <w:tcPr>
            <w:tcW w:type="dxa" w:w="2078"/>
          </w:tcPr>
          <w:p>
            <w:pPr>
              <w:spacing w:after="40"/>
            </w:pPr>
            <w:r>
              <w:rPr>
                <w:sz w:val="18"/>
              </w:rPr>
            </w:r>
            <w:r>
              <w:rPr>
                <w:b/>
                <w:i w:val="0"/>
                <w:sz w:val="18"/>
              </w:rPr>
              <w:t>Designed solely to cover S. aureus (MSSA)</w:t>
            </w:r>
            <w:r>
              <w:rPr>
                <w:b w:val="0"/>
                <w:i w:val="0"/>
                <w:sz w:val="18"/>
              </w:rPr>
              <w:t>, with decreased activity against everything else. Not for MRSA — vancomycin is the choice there.</w:t>
            </w:r>
          </w:p>
        </w:tc>
        <w:tc>
          <w:tcPr>
            <w:tcW w:type="dxa" w:w="2078"/>
          </w:tcPr>
          <w:p>
            <w:pPr>
              <w:spacing w:after="40"/>
            </w:pPr>
            <w:r>
              <w:rPr>
                <w:sz w:val="18"/>
              </w:rPr>
            </w:r>
            <w:r>
              <w:rPr>
                <w:b w:val="0"/>
                <w:i w:val="0"/>
                <w:sz w:val="18"/>
              </w:rPr>
              <w:t>26</w:t>
            </w:r>
          </w:p>
        </w:tc>
      </w:tr>
      <w:tr>
        <w:tc>
          <w:tcPr>
            <w:tcW w:type="dxa" w:w="2078"/>
          </w:tcPr>
          <w:p>
            <w:pPr>
              <w:spacing w:after="40"/>
            </w:pPr>
            <w:r>
              <w:rPr>
                <w:sz w:val="18"/>
              </w:rPr>
            </w:r>
            <w:r>
              <w:rPr>
                <w:b/>
                <w:i w:val="0"/>
                <w:sz w:val="18"/>
              </w:rPr>
              <w:t>Antipseudomonal penicillins</w:t>
            </w:r>
            <w:r>
              <w:rPr>
                <w:sz w:val="18"/>
              </w:rPr>
              <w:br/>
            </w:r>
            <w:r>
              <w:rPr>
                <w:b w:val="0"/>
                <w:i w:val="0"/>
                <w:sz w:val="18"/>
              </w:rPr>
              <w:t>piperacillin, piperacillin/tazobactam</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val="0"/>
                <w:i w:val="0"/>
                <w:sz w:val="18"/>
              </w:rPr>
              <w:t xml:space="preserve">Broad spectrum. </w:t>
            </w:r>
            <w:r>
              <w:rPr>
                <w:b/>
                <w:i w:val="0"/>
                <w:sz w:val="18"/>
              </w:rPr>
              <w:t>Keeps gram-positive coverage (MSSA only), adds gram-negative and antipseudomonal activity.</w:t>
            </w:r>
            <w:r>
              <w:rPr>
                <w:b w:val="0"/>
                <w:i w:val="0"/>
                <w:sz w:val="18"/>
              </w:rPr>
              <w:t xml:space="preserve"> Drug of choice for polymicrobial, nosocomial and intra-abdominal infection.</w:t>
            </w:r>
          </w:p>
        </w:tc>
        <w:tc>
          <w:tcPr>
            <w:tcW w:type="dxa" w:w="2078"/>
          </w:tcPr>
          <w:p>
            <w:pPr>
              <w:spacing w:after="40"/>
            </w:pPr>
            <w:r>
              <w:rPr>
                <w:sz w:val="18"/>
              </w:rPr>
            </w:r>
            <w:r>
              <w:rPr>
                <w:b w:val="0"/>
                <w:i w:val="0"/>
                <w:sz w:val="18"/>
              </w:rPr>
              <w:t>27</w:t>
            </w:r>
          </w:p>
        </w:tc>
      </w:tr>
      <w:tr>
        <w:tc>
          <w:tcPr>
            <w:tcW w:type="dxa" w:w="2078"/>
          </w:tcPr>
          <w:p>
            <w:pPr>
              <w:spacing w:after="40"/>
            </w:pPr>
            <w:r>
              <w:rPr>
                <w:sz w:val="18"/>
              </w:rPr>
            </w:r>
            <w:r>
              <w:rPr>
                <w:b/>
                <w:i w:val="0"/>
                <w:sz w:val="18"/>
              </w:rPr>
              <w:t>Cephalosporins — 1st generation</w:t>
            </w:r>
            <w:r>
              <w:rPr>
                <w:sz w:val="18"/>
              </w:rPr>
              <w:br/>
            </w:r>
            <w:r>
              <w:rPr>
                <w:b w:val="0"/>
                <w:i w:val="0"/>
                <w:sz w:val="18"/>
              </w:rPr>
              <w:t>cefazolin, cephalexin</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partial</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Mainly gram-positive</w:t>
            </w:r>
          </w:p>
        </w:tc>
        <w:tc>
          <w:tcPr>
            <w:tcW w:type="dxa" w:w="2078"/>
          </w:tcPr>
          <w:p>
            <w:pPr>
              <w:spacing w:after="40"/>
            </w:pPr>
            <w:r>
              <w:rPr>
                <w:sz w:val="18"/>
              </w:rPr>
            </w:r>
            <w:r>
              <w:rPr>
                <w:b/>
                <w:i w:val="0"/>
                <w:sz w:val="18"/>
              </w:rPr>
              <w:t>Great gram-positive activity</w:t>
            </w:r>
            <w:r>
              <w:rPr>
                <w:b w:val="0"/>
                <w:i w:val="0"/>
                <w:sz w:val="18"/>
              </w:rPr>
              <w:t xml:space="preserve"> (but no Enterococcus). Some gram-negatives — E. coli, Proteus, Klebsiella. Surgical prophylaxis, cellulitis, urinary infection.</w:t>
            </w:r>
          </w:p>
        </w:tc>
        <w:tc>
          <w:tcPr>
            <w:tcW w:type="dxa" w:w="2078"/>
          </w:tcPr>
          <w:p>
            <w:pPr>
              <w:spacing w:after="40"/>
            </w:pPr>
            <w:r>
              <w:rPr>
                <w:sz w:val="18"/>
              </w:rPr>
            </w:r>
            <w:r>
              <w:rPr>
                <w:b w:val="0"/>
                <w:i w:val="0"/>
                <w:sz w:val="18"/>
              </w:rPr>
              <w:t>32</w:t>
            </w:r>
          </w:p>
        </w:tc>
      </w:tr>
      <w:tr>
        <w:tc>
          <w:tcPr>
            <w:tcW w:type="dxa" w:w="2078"/>
          </w:tcPr>
          <w:p>
            <w:pPr>
              <w:spacing w:after="40"/>
            </w:pPr>
            <w:r>
              <w:rPr>
                <w:sz w:val="18"/>
              </w:rPr>
            </w:r>
            <w:r>
              <w:rPr>
                <w:b/>
                <w:i w:val="0"/>
                <w:sz w:val="18"/>
              </w:rPr>
              <w:t>Cephalosporins — 2nd generation</w:t>
            </w:r>
            <w:r>
              <w:rPr>
                <w:sz w:val="18"/>
              </w:rPr>
              <w:br/>
            </w:r>
            <w:r>
              <w:rPr>
                <w:b w:val="0"/>
                <w:i w:val="0"/>
                <w:sz w:val="18"/>
              </w:rPr>
              <w:t>cefotetan, cefoxitin, cefuroxime, cefprozil</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partial</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i w:val="0"/>
                <w:sz w:val="18"/>
              </w:rPr>
              <w:t>More gram-negative activity than first generation</w:t>
            </w:r>
            <w:r>
              <w:rPr>
                <w:b w:val="0"/>
                <w:i w:val="0"/>
                <w:sz w:val="18"/>
              </w:rPr>
              <w:t xml:space="preserve"> — H. influenzae, Enterobacter, Neisseria, Proteus, E. coli, Klebsiella.</w:t>
            </w:r>
          </w:p>
        </w:tc>
        <w:tc>
          <w:tcPr>
            <w:tcW w:type="dxa" w:w="2078"/>
          </w:tcPr>
          <w:p>
            <w:pPr>
              <w:spacing w:after="40"/>
            </w:pPr>
            <w:r>
              <w:rPr>
                <w:sz w:val="18"/>
              </w:rPr>
            </w:r>
            <w:r>
              <w:rPr>
                <w:b w:val="0"/>
                <w:i w:val="0"/>
                <w:sz w:val="18"/>
              </w:rPr>
              <w:t>33</w:t>
            </w:r>
          </w:p>
        </w:tc>
      </w:tr>
      <w:tr>
        <w:tc>
          <w:tcPr>
            <w:tcW w:type="dxa" w:w="2078"/>
          </w:tcPr>
          <w:p>
            <w:pPr>
              <w:spacing w:after="40"/>
            </w:pPr>
            <w:r>
              <w:rPr>
                <w:sz w:val="18"/>
              </w:rPr>
            </w:r>
            <w:r>
              <w:rPr>
                <w:b/>
                <w:i w:val="0"/>
                <w:sz w:val="18"/>
              </w:rPr>
              <w:t>Cephalosporins — 3rd generation</w:t>
            </w:r>
            <w:r>
              <w:rPr>
                <w:sz w:val="18"/>
              </w:rPr>
              <w:br/>
            </w:r>
            <w:r>
              <w:rPr>
                <w:b w:val="0"/>
                <w:i w:val="0"/>
                <w:sz w:val="18"/>
              </w:rPr>
              <w:t>ceftriaxone, ceftazidime, cefotaxime, cefdinir, cefixime</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i w:val="0"/>
                <w:sz w:val="18"/>
              </w:rPr>
              <w:t>Better gram-negative coverage than second generation, and loses more gram-positive.</w:t>
            </w:r>
            <w:r>
              <w:rPr>
                <w:b w:val="0"/>
                <w:i w:val="0"/>
                <w:sz w:val="18"/>
              </w:rPr>
              <w:t xml:space="preserve"> Adds Serratia and Moraxella catarrhalis. Ceftriaxone needs no renal adjustment but is avoided in the first 30 days of life.</w:t>
            </w:r>
          </w:p>
        </w:tc>
        <w:tc>
          <w:tcPr>
            <w:tcW w:type="dxa" w:w="2078"/>
          </w:tcPr>
          <w:p>
            <w:pPr>
              <w:spacing w:after="40"/>
            </w:pPr>
            <w:r>
              <w:rPr>
                <w:sz w:val="18"/>
              </w:rPr>
            </w:r>
            <w:r>
              <w:rPr>
                <w:b w:val="0"/>
                <w:i w:val="0"/>
                <w:sz w:val="18"/>
              </w:rPr>
              <w:t>34</w:t>
            </w:r>
          </w:p>
        </w:tc>
      </w:tr>
      <w:tr>
        <w:tc>
          <w:tcPr>
            <w:tcW w:type="dxa" w:w="2078"/>
          </w:tcPr>
          <w:p>
            <w:pPr>
              <w:spacing w:after="40"/>
            </w:pPr>
            <w:r>
              <w:rPr>
                <w:sz w:val="18"/>
              </w:rPr>
            </w:r>
            <w:r>
              <w:rPr>
                <w:b/>
                <w:i w:val="0"/>
                <w:sz w:val="18"/>
              </w:rPr>
              <w:t>Cephalosporins — 4th generation</w:t>
            </w:r>
            <w:r>
              <w:rPr>
                <w:sz w:val="18"/>
              </w:rPr>
              <w:br/>
            </w:r>
            <w:r>
              <w:rPr>
                <w:b w:val="0"/>
                <w:i w:val="0"/>
                <w:sz w:val="18"/>
              </w:rPr>
              <w:t>cefepime</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i w:val="0"/>
                <w:sz w:val="18"/>
              </w:rPr>
              <w:t>The exception to the trade-off: gram-negative activity WITHOUT sacrificing gram-positive.</w:t>
            </w:r>
            <w:r>
              <w:rPr>
                <w:b w:val="0"/>
                <w:i w:val="0"/>
                <w:sz w:val="18"/>
              </w:rPr>
              <w:t xml:space="preserve"> Antipseudomonal. No MRSA, no Enterococcus.</w:t>
            </w:r>
          </w:p>
        </w:tc>
        <w:tc>
          <w:tcPr>
            <w:tcW w:type="dxa" w:w="2078"/>
          </w:tcPr>
          <w:p>
            <w:pPr>
              <w:spacing w:after="40"/>
            </w:pPr>
            <w:r>
              <w:rPr>
                <w:sz w:val="18"/>
              </w:rPr>
            </w:r>
            <w:r>
              <w:rPr>
                <w:b w:val="0"/>
                <w:i w:val="0"/>
                <w:sz w:val="18"/>
              </w:rPr>
              <w:t>36</w:t>
            </w:r>
          </w:p>
        </w:tc>
      </w:tr>
      <w:tr>
        <w:tc>
          <w:tcPr>
            <w:tcW w:type="dxa" w:w="2078"/>
          </w:tcPr>
          <w:p>
            <w:pPr>
              <w:spacing w:after="40"/>
            </w:pPr>
            <w:r>
              <w:rPr>
                <w:sz w:val="18"/>
              </w:rPr>
            </w:r>
            <w:r>
              <w:rPr>
                <w:b/>
                <w:i w:val="0"/>
                <w:sz w:val="18"/>
              </w:rPr>
              <w:t>Cephalosporins — 5th generation</w:t>
            </w:r>
            <w:r>
              <w:rPr>
                <w:sz w:val="18"/>
              </w:rPr>
              <w:br/>
            </w:r>
            <w:r>
              <w:rPr>
                <w:b w:val="0"/>
                <w:i w:val="0"/>
                <w:sz w:val="18"/>
              </w:rPr>
              <w:t>ceftaroline</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i w:val="0"/>
                <w:sz w:val="18"/>
              </w:rPr>
              <w:t>The cephalosporin with MRSA coverage.</w:t>
            </w:r>
            <w:r>
              <w:rPr>
                <w:b w:val="0"/>
                <w:i w:val="0"/>
                <w:sz w:val="18"/>
              </w:rPr>
              <w:t xml:space="preserve"> Gram-negative and gram-positive, no Enterococcus, no anaerobes.</w:t>
            </w:r>
          </w:p>
        </w:tc>
        <w:tc>
          <w:tcPr>
            <w:tcW w:type="dxa" w:w="2078"/>
          </w:tcPr>
          <w:p>
            <w:pPr>
              <w:spacing w:after="40"/>
            </w:pPr>
            <w:r>
              <w:rPr>
                <w:sz w:val="18"/>
              </w:rPr>
            </w:r>
            <w:r>
              <w:rPr>
                <w:b w:val="0"/>
                <w:i w:val="0"/>
                <w:sz w:val="18"/>
              </w:rPr>
              <w:t>37</w:t>
            </w:r>
          </w:p>
        </w:tc>
      </w:tr>
      <w:tr>
        <w:tc>
          <w:tcPr>
            <w:tcW w:type="dxa" w:w="2078"/>
          </w:tcPr>
          <w:p>
            <w:pPr>
              <w:spacing w:after="40"/>
            </w:pPr>
            <w:r>
              <w:rPr>
                <w:sz w:val="18"/>
              </w:rPr>
            </w:r>
            <w:r>
              <w:rPr>
                <w:b/>
                <w:i w:val="0"/>
                <w:sz w:val="18"/>
              </w:rPr>
              <w:t>Cephalosporins — 5th generation</w:t>
            </w:r>
            <w:r>
              <w:rPr>
                <w:sz w:val="18"/>
              </w:rPr>
              <w:br/>
            </w:r>
            <w:r>
              <w:rPr>
                <w:b w:val="0"/>
                <w:i w:val="0"/>
                <w:sz w:val="18"/>
              </w:rPr>
              <w:t>ceftolozane/tazobactam</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partial</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val="0"/>
                <w:i w:val="0"/>
                <w:sz w:val="18"/>
              </w:rPr>
              <w:t xml:space="preserve">Antipseudomonal, with </w:t>
            </w:r>
            <w:r>
              <w:rPr>
                <w:b/>
                <w:i w:val="0"/>
                <w:sz w:val="18"/>
              </w:rPr>
              <w:t>some anaerobic activity including Bacteroides</w:t>
            </w:r>
            <w:r>
              <w:rPr>
                <w:b w:val="0"/>
                <w:i w:val="0"/>
                <w:sz w:val="18"/>
              </w:rPr>
              <w:t>. No MRSA, no Enterococcus.</w:t>
            </w:r>
          </w:p>
        </w:tc>
        <w:tc>
          <w:tcPr>
            <w:tcW w:type="dxa" w:w="2078"/>
          </w:tcPr>
          <w:p>
            <w:pPr>
              <w:spacing w:after="40"/>
            </w:pPr>
            <w:r>
              <w:rPr>
                <w:sz w:val="18"/>
              </w:rPr>
            </w:r>
            <w:r>
              <w:rPr>
                <w:b w:val="0"/>
                <w:i w:val="0"/>
                <w:sz w:val="18"/>
              </w:rPr>
              <w:t>38</w:t>
            </w:r>
          </w:p>
        </w:tc>
      </w:tr>
      <w:tr>
        <w:tc>
          <w:tcPr>
            <w:tcW w:type="dxa" w:w="2078"/>
          </w:tcPr>
          <w:p>
            <w:pPr>
              <w:spacing w:after="40"/>
            </w:pPr>
            <w:r>
              <w:rPr>
                <w:sz w:val="18"/>
              </w:rPr>
            </w:r>
            <w:r>
              <w:rPr>
                <w:b/>
                <w:i w:val="0"/>
                <w:sz w:val="18"/>
              </w:rPr>
              <w:t>Monobactam</w:t>
            </w:r>
            <w:r>
              <w:rPr>
                <w:sz w:val="18"/>
              </w:rPr>
              <w:br/>
            </w:r>
            <w:r>
              <w:rPr>
                <w:b w:val="0"/>
                <w:i w:val="0"/>
                <w:sz w:val="18"/>
              </w:rPr>
              <w:t>aztreonam</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Mainly gram-negative</w:t>
            </w:r>
          </w:p>
        </w:tc>
        <w:tc>
          <w:tcPr>
            <w:tcW w:type="dxa" w:w="2078"/>
          </w:tcPr>
          <w:p>
            <w:pPr>
              <w:spacing w:after="40"/>
            </w:pPr>
            <w:r>
              <w:rPr>
                <w:sz w:val="18"/>
              </w:rPr>
            </w:r>
            <w:r>
              <w:rPr>
                <w:b/>
                <w:i w:val="0"/>
                <w:sz w:val="18"/>
              </w:rPr>
              <w:t>Gram-negative ONLY.</w:t>
            </w:r>
            <w:r>
              <w:rPr>
                <w:b w:val="0"/>
                <w:i w:val="0"/>
                <w:sz w:val="18"/>
              </w:rPr>
              <w:t xml:space="preserve"> Spectrum resembles the aminoglycosides, with activity against P. aeruginosa.</w:t>
            </w:r>
          </w:p>
        </w:tc>
        <w:tc>
          <w:tcPr>
            <w:tcW w:type="dxa" w:w="2078"/>
          </w:tcPr>
          <w:p>
            <w:pPr>
              <w:spacing w:after="40"/>
            </w:pPr>
            <w:r>
              <w:rPr>
                <w:sz w:val="18"/>
              </w:rPr>
            </w:r>
            <w:r>
              <w:rPr>
                <w:b w:val="0"/>
                <w:i w:val="0"/>
                <w:sz w:val="18"/>
              </w:rPr>
              <w:t>40</w:t>
            </w:r>
          </w:p>
        </w:tc>
      </w:tr>
      <w:tr>
        <w:tc>
          <w:tcPr>
            <w:tcW w:type="dxa" w:w="2078"/>
          </w:tcPr>
          <w:p>
            <w:pPr>
              <w:spacing w:after="40"/>
            </w:pPr>
            <w:r>
              <w:rPr>
                <w:sz w:val="18"/>
              </w:rPr>
            </w:r>
            <w:r>
              <w:rPr>
                <w:b/>
                <w:i w:val="0"/>
                <w:sz w:val="18"/>
              </w:rPr>
              <w:t>Carbapenems</w:t>
            </w:r>
            <w:r>
              <w:rPr>
                <w:sz w:val="18"/>
              </w:rPr>
              <w:br/>
            </w:r>
            <w:r>
              <w:rPr>
                <w:b w:val="0"/>
                <w:i w:val="0"/>
                <w:sz w:val="18"/>
              </w:rPr>
              <w:t>imipenem, meropenem, ertapenem</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i w:val="0"/>
                <w:sz w:val="18"/>
              </w:rPr>
              <w:t>Very broad</w:t>
            </w:r>
            <w:r>
              <w:rPr>
                <w:b w:val="0"/>
                <w:i w:val="0"/>
                <w:sz w:val="18"/>
              </w:rPr>
              <w:t xml:space="preserve"> — gram-positive (not MRSA), gram-negative, anaerobes, and P. aeruginosa </w:t>
            </w:r>
            <w:r>
              <w:rPr>
                <w:b/>
                <w:i w:val="0"/>
                <w:sz w:val="18"/>
              </w:rPr>
              <w:t>except ertapenem</w:t>
            </w:r>
            <w:r>
              <w:rPr>
                <w:b w:val="0"/>
                <w:i w:val="0"/>
                <w:sz w:val="18"/>
              </w:rPr>
              <w:t>.</w:t>
            </w:r>
          </w:p>
        </w:tc>
        <w:tc>
          <w:tcPr>
            <w:tcW w:type="dxa" w:w="2078"/>
          </w:tcPr>
          <w:p>
            <w:pPr>
              <w:spacing w:after="40"/>
            </w:pPr>
            <w:r>
              <w:rPr>
                <w:sz w:val="18"/>
              </w:rPr>
            </w:r>
            <w:r>
              <w:rPr>
                <w:b w:val="0"/>
                <w:i w:val="0"/>
                <w:sz w:val="18"/>
              </w:rPr>
              <w:t>43</w:t>
            </w:r>
          </w:p>
        </w:tc>
      </w:tr>
      <w:tr>
        <w:tc>
          <w:tcPr>
            <w:tcW w:type="dxa" w:w="2078"/>
          </w:tcPr>
          <w:p>
            <w:pPr>
              <w:spacing w:after="40"/>
            </w:pPr>
            <w:r>
              <w:rPr>
                <w:sz w:val="18"/>
              </w:rPr>
            </w:r>
            <w:r>
              <w:rPr>
                <w:b/>
                <w:i w:val="0"/>
                <w:sz w:val="18"/>
              </w:rPr>
              <w:t>Vancomycin</w:t>
            </w:r>
            <w:r>
              <w:rPr>
                <w:sz w:val="18"/>
              </w:rPr>
              <w:br/>
            </w:r>
            <w:r>
              <w:rPr>
                <w:b w:val="0"/>
                <w:i w:val="0"/>
                <w:sz w:val="18"/>
              </w:rPr>
              <w:t>vancomycin</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Mainly gram-positive</w:t>
            </w:r>
          </w:p>
        </w:tc>
        <w:tc>
          <w:tcPr>
            <w:tcW w:type="dxa" w:w="2078"/>
          </w:tcPr>
          <w:p>
            <w:pPr>
              <w:spacing w:after="40"/>
            </w:pPr>
            <w:r>
              <w:rPr>
                <w:sz w:val="18"/>
              </w:rPr>
            </w:r>
            <w:r>
              <w:rPr>
                <w:b/>
                <w:i w:val="0"/>
                <w:sz w:val="18"/>
              </w:rPr>
              <w:t>Gram-positive ONLY.</w:t>
            </w:r>
            <w:r>
              <w:rPr>
                <w:b w:val="0"/>
                <w:i w:val="0"/>
                <w:sz w:val="18"/>
              </w:rPr>
              <w:t xml:space="preserve"> Drug of choice for MRSA and for penicillin-allergic infections.</w:t>
            </w:r>
          </w:p>
        </w:tc>
        <w:tc>
          <w:tcPr>
            <w:tcW w:type="dxa" w:w="2078"/>
          </w:tcPr>
          <w:p>
            <w:pPr>
              <w:spacing w:after="40"/>
            </w:pPr>
            <w:r>
              <w:rPr>
                <w:sz w:val="18"/>
              </w:rPr>
            </w:r>
            <w:r>
              <w:rPr>
                <w:b w:val="0"/>
                <w:i w:val="0"/>
                <w:sz w:val="18"/>
              </w:rPr>
              <w:t>47</w:t>
            </w:r>
          </w:p>
        </w:tc>
      </w:tr>
      <w:tr>
        <w:tc>
          <w:tcPr>
            <w:tcW w:type="dxa" w:w="2078"/>
          </w:tcPr>
          <w:p>
            <w:pPr>
              <w:spacing w:after="40"/>
            </w:pPr>
            <w:r>
              <w:rPr>
                <w:sz w:val="18"/>
              </w:rPr>
            </w:r>
            <w:r>
              <w:rPr>
                <w:b/>
                <w:i w:val="0"/>
                <w:sz w:val="18"/>
              </w:rPr>
              <w:t>Macrolides</w:t>
            </w:r>
            <w:r>
              <w:rPr>
                <w:sz w:val="18"/>
              </w:rPr>
              <w:br/>
            </w:r>
            <w:r>
              <w:rPr>
                <w:b w:val="0"/>
                <w:i w:val="0"/>
                <w:sz w:val="18"/>
              </w:rPr>
              <w:t>azithromycin, clarithromycin, erythromycin</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val="0"/>
                <w:i w:val="0"/>
                <w:sz w:val="18"/>
              </w:rPr>
              <w:t xml:space="preserve">Gram-positive and gram-negative aerobes, and the </w:t>
            </w:r>
            <w:r>
              <w:rPr>
                <w:b/>
                <w:i w:val="0"/>
                <w:sz w:val="18"/>
              </w:rPr>
              <w:t>atypicals</w:t>
            </w:r>
            <w:r>
              <w:rPr>
                <w:b w:val="0"/>
                <w:i w:val="0"/>
                <w:sz w:val="18"/>
              </w:rPr>
              <w:t xml:space="preserve">. Does </w:t>
            </w:r>
            <w:r>
              <w:rPr>
                <w:b/>
                <w:i w:val="0"/>
                <w:sz w:val="18"/>
              </w:rPr>
              <w:t>not</w:t>
            </w:r>
            <w:r>
              <w:rPr>
                <w:b w:val="0"/>
                <w:i w:val="0"/>
                <w:sz w:val="18"/>
              </w:rPr>
              <w:t xml:space="preserve"> cover enterococci.</w:t>
            </w:r>
          </w:p>
        </w:tc>
        <w:tc>
          <w:tcPr>
            <w:tcW w:type="dxa" w:w="2078"/>
          </w:tcPr>
          <w:p>
            <w:pPr>
              <w:spacing w:after="40"/>
            </w:pPr>
            <w:r>
              <w:rPr>
                <w:sz w:val="18"/>
              </w:rPr>
            </w:r>
            <w:r>
              <w:rPr>
                <w:b w:val="0"/>
                <w:i w:val="0"/>
                <w:sz w:val="18"/>
              </w:rPr>
              <w:t>55</w:t>
            </w:r>
          </w:p>
        </w:tc>
      </w:tr>
      <w:tr>
        <w:tc>
          <w:tcPr>
            <w:tcW w:type="dxa" w:w="2078"/>
          </w:tcPr>
          <w:p>
            <w:pPr>
              <w:spacing w:after="40"/>
            </w:pPr>
            <w:r>
              <w:rPr>
                <w:sz w:val="18"/>
              </w:rPr>
            </w:r>
            <w:r>
              <w:rPr>
                <w:b/>
                <w:i w:val="0"/>
                <w:sz w:val="18"/>
              </w:rPr>
              <w:t>Tetracyclines</w:t>
            </w:r>
            <w:r>
              <w:rPr>
                <w:sz w:val="18"/>
              </w:rPr>
              <w:br/>
            </w:r>
            <w:r>
              <w:rPr>
                <w:b w:val="0"/>
                <w:i w:val="0"/>
                <w:sz w:val="18"/>
              </w:rPr>
              <w:t>tetracycline, doxycycline, minocycline</w:t>
            </w:r>
          </w:p>
        </w:tc>
        <w:tc>
          <w:tcPr>
            <w:tcW w:type="dxa" w:w="2078"/>
          </w:tcPr>
          <w:p>
            <w:pPr>
              <w:spacing w:after="40"/>
            </w:pPr>
            <w:r>
              <w:rPr>
                <w:sz w:val="18"/>
              </w:rPr>
            </w:r>
            <w:r>
              <w:rPr>
                <w:b w:val="0"/>
                <w:i w:val="0"/>
                <w:sz w:val="18"/>
              </w:rPr>
              <w:t>moderate</w:t>
            </w:r>
          </w:p>
        </w:tc>
        <w:tc>
          <w:tcPr>
            <w:tcW w:type="dxa" w:w="2078"/>
          </w:tcPr>
          <w:p>
            <w:pPr>
              <w:spacing w:after="40"/>
            </w:pPr>
            <w:r>
              <w:rPr>
                <w:sz w:val="18"/>
              </w:rPr>
            </w:r>
            <w:r>
              <w:rPr>
                <w:b w:val="0"/>
                <w:i w:val="0"/>
                <w:sz w:val="18"/>
              </w:rPr>
              <w:t>moderate</w:t>
            </w:r>
          </w:p>
        </w:tc>
        <w:tc>
          <w:tcPr>
            <w:tcW w:type="dxa" w:w="2078"/>
          </w:tcPr>
          <w:p>
            <w:pPr>
              <w:spacing w:after="40"/>
            </w:pPr>
            <w:r>
              <w:rPr>
                <w:sz w:val="18"/>
              </w:rPr>
            </w:r>
            <w:r>
              <w:rPr>
                <w:b w:val="0"/>
                <w:i w:val="0"/>
                <w:sz w:val="18"/>
              </w:rPr>
              <w:t>moderate</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i w:val="0"/>
                <w:sz w:val="18"/>
              </w:rPr>
              <w:t>Moderate across all three</w:t>
            </w:r>
            <w:r>
              <w:rPr>
                <w:b w:val="0"/>
                <w:i w:val="0"/>
                <w:sz w:val="18"/>
              </w:rPr>
              <w:t xml:space="preserve"> rather than strong anywhere — the only class the deck marks that way. Watch the calcium and iron binding, and photosensitivity.</w:t>
            </w:r>
          </w:p>
        </w:tc>
        <w:tc>
          <w:tcPr>
            <w:tcW w:type="dxa" w:w="2078"/>
          </w:tcPr>
          <w:p>
            <w:pPr>
              <w:spacing w:after="40"/>
            </w:pPr>
            <w:r>
              <w:rPr>
                <w:sz w:val="18"/>
              </w:rPr>
            </w:r>
            <w:r>
              <w:rPr>
                <w:b w:val="0"/>
                <w:i w:val="0"/>
                <w:sz w:val="18"/>
              </w:rPr>
              <w:t>62</w:t>
            </w:r>
          </w:p>
        </w:tc>
      </w:tr>
      <w:tr>
        <w:tc>
          <w:tcPr>
            <w:tcW w:type="dxa" w:w="2078"/>
          </w:tcPr>
          <w:p>
            <w:pPr>
              <w:spacing w:after="40"/>
            </w:pPr>
            <w:r>
              <w:rPr>
                <w:sz w:val="18"/>
              </w:rPr>
            </w:r>
            <w:r>
              <w:rPr>
                <w:b/>
                <w:i w:val="0"/>
                <w:sz w:val="18"/>
              </w:rPr>
              <w:t>Tigecycline</w:t>
            </w:r>
            <w:r>
              <w:rPr>
                <w:sz w:val="18"/>
              </w:rPr>
              <w:br/>
            </w:r>
            <w:r>
              <w:rPr>
                <w:b w:val="0"/>
                <w:i w:val="0"/>
                <w:sz w:val="18"/>
              </w:rPr>
              <w:t>tigecycline</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val="0"/>
                <w:i w:val="0"/>
                <w:sz w:val="18"/>
              </w:rPr>
              <w:t>Broad across all three. Bacteriostatic, for complicated skin infection.</w:t>
            </w:r>
          </w:p>
        </w:tc>
        <w:tc>
          <w:tcPr>
            <w:tcW w:type="dxa" w:w="2078"/>
          </w:tcPr>
          <w:p>
            <w:pPr>
              <w:spacing w:after="40"/>
            </w:pPr>
            <w:r>
              <w:rPr>
                <w:sz w:val="18"/>
              </w:rPr>
            </w:r>
            <w:r>
              <w:rPr>
                <w:b w:val="0"/>
                <w:i w:val="0"/>
                <w:sz w:val="18"/>
              </w:rPr>
              <w:t>65</w:t>
            </w:r>
          </w:p>
        </w:tc>
      </w:tr>
      <w:tr>
        <w:tc>
          <w:tcPr>
            <w:tcW w:type="dxa" w:w="2078"/>
          </w:tcPr>
          <w:p>
            <w:pPr>
              <w:spacing w:after="40"/>
            </w:pPr>
            <w:r>
              <w:rPr>
                <w:sz w:val="18"/>
              </w:rPr>
            </w:r>
            <w:r>
              <w:rPr>
                <w:b/>
                <w:i w:val="0"/>
                <w:sz w:val="18"/>
              </w:rPr>
              <w:t>Aminoglycosides</w:t>
            </w:r>
            <w:r>
              <w:rPr>
                <w:sz w:val="18"/>
              </w:rPr>
              <w:br/>
            </w:r>
            <w:r>
              <w:rPr>
                <w:b w:val="0"/>
                <w:i w:val="0"/>
                <w:sz w:val="18"/>
              </w:rPr>
              <w:t>gentamicin, tobramycin, amikacin</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Mainly gram-negative</w:t>
            </w:r>
          </w:p>
        </w:tc>
        <w:tc>
          <w:tcPr>
            <w:tcW w:type="dxa" w:w="2078"/>
          </w:tcPr>
          <w:p>
            <w:pPr>
              <w:spacing w:after="40"/>
            </w:pPr>
            <w:r>
              <w:rPr>
                <w:sz w:val="18"/>
              </w:rPr>
            </w:r>
            <w:r>
              <w:rPr>
                <w:b/>
                <w:i w:val="0"/>
                <w:sz w:val="18"/>
              </w:rPr>
              <w:t>Gram-negatives</w:t>
            </w:r>
            <w:r>
              <w:rPr>
                <w:b w:val="0"/>
                <w:i w:val="0"/>
                <w:sz w:val="18"/>
              </w:rPr>
              <w:t xml:space="preserve">, including Pseudomonas and Enterobacter. </w:t>
            </w:r>
            <w:r>
              <w:rPr>
                <w:b/>
                <w:i w:val="0"/>
                <w:sz w:val="18"/>
              </w:rPr>
              <w:t>No gram-positive coverage.</w:t>
            </w:r>
            <w:r>
              <w:rPr>
                <w:b w:val="0"/>
                <w:i w:val="0"/>
                <w:sz w:val="18"/>
              </w:rPr>
              <w:t xml:space="preserve"> The trough is checked to confirm it is undetectable.</w:t>
            </w:r>
          </w:p>
        </w:tc>
        <w:tc>
          <w:tcPr>
            <w:tcW w:type="dxa" w:w="2078"/>
          </w:tcPr>
          <w:p>
            <w:pPr>
              <w:spacing w:after="40"/>
            </w:pPr>
            <w:r>
              <w:rPr>
                <w:sz w:val="18"/>
              </w:rPr>
            </w:r>
            <w:r>
              <w:rPr>
                <w:b w:val="0"/>
                <w:i w:val="0"/>
                <w:sz w:val="18"/>
              </w:rPr>
              <w:t>68</w:t>
            </w:r>
          </w:p>
        </w:tc>
      </w:tr>
      <w:tr>
        <w:tc>
          <w:tcPr>
            <w:tcW w:type="dxa" w:w="2078"/>
          </w:tcPr>
          <w:p>
            <w:pPr>
              <w:spacing w:after="40"/>
            </w:pPr>
            <w:r>
              <w:rPr>
                <w:sz w:val="18"/>
              </w:rPr>
            </w:r>
            <w:r>
              <w:rPr>
                <w:b/>
                <w:i w:val="0"/>
                <w:sz w:val="18"/>
              </w:rPr>
              <w:t>Oxazolidinone</w:t>
            </w:r>
            <w:r>
              <w:rPr>
                <w:sz w:val="18"/>
              </w:rPr>
              <w:br/>
            </w:r>
            <w:r>
              <w:rPr>
                <w:b w:val="0"/>
                <w:i w:val="0"/>
                <w:sz w:val="18"/>
              </w:rPr>
              <w:t>linezolid</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Mainly gram-positive</w:t>
            </w:r>
          </w:p>
        </w:tc>
        <w:tc>
          <w:tcPr>
            <w:tcW w:type="dxa" w:w="2078"/>
          </w:tcPr>
          <w:p>
            <w:pPr>
              <w:spacing w:after="40"/>
            </w:pPr>
            <w:r>
              <w:rPr>
                <w:sz w:val="18"/>
              </w:rPr>
            </w:r>
            <w:r>
              <w:rPr>
                <w:b w:val="0"/>
                <w:i w:val="0"/>
                <w:sz w:val="18"/>
              </w:rPr>
              <w:t xml:space="preserve">For </w:t>
            </w:r>
            <w:r>
              <w:rPr>
                <w:b/>
                <w:i w:val="0"/>
                <w:sz w:val="18"/>
              </w:rPr>
              <w:t>vancomycin-resistant Enterococcus</w:t>
            </w:r>
            <w:r>
              <w:rPr>
                <w:b w:val="0"/>
                <w:i w:val="0"/>
                <w:sz w:val="18"/>
              </w:rPr>
              <w:t>. Gram-positive only.</w:t>
            </w:r>
          </w:p>
        </w:tc>
        <w:tc>
          <w:tcPr>
            <w:tcW w:type="dxa" w:w="2078"/>
          </w:tcPr>
          <w:p>
            <w:pPr>
              <w:spacing w:after="40"/>
            </w:pPr>
            <w:r>
              <w:rPr>
                <w:sz w:val="18"/>
              </w:rPr>
            </w:r>
            <w:r>
              <w:rPr>
                <w:b w:val="0"/>
                <w:i w:val="0"/>
                <w:sz w:val="18"/>
              </w:rPr>
              <w:t>72</w:t>
            </w:r>
          </w:p>
        </w:tc>
      </w:tr>
      <w:tr>
        <w:tc>
          <w:tcPr>
            <w:tcW w:type="dxa" w:w="2078"/>
          </w:tcPr>
          <w:p>
            <w:pPr>
              <w:spacing w:after="40"/>
            </w:pPr>
            <w:r>
              <w:rPr>
                <w:sz w:val="18"/>
              </w:rPr>
            </w:r>
            <w:r>
              <w:rPr>
                <w:b/>
                <w:i w:val="0"/>
                <w:sz w:val="18"/>
              </w:rPr>
              <w:t>Fluoroquinolones — 2nd generation</w:t>
            </w:r>
            <w:r>
              <w:rPr>
                <w:sz w:val="18"/>
              </w:rPr>
              <w:br/>
            </w:r>
            <w:r>
              <w:rPr>
                <w:b w:val="0"/>
                <w:i w:val="0"/>
                <w:sz w:val="18"/>
              </w:rPr>
              <w:t>ciprofloxacin</w:t>
            </w:r>
          </w:p>
        </w:tc>
        <w:tc>
          <w:tcPr>
            <w:tcW w:type="dxa" w:w="2078"/>
          </w:tcPr>
          <w:p>
            <w:pPr>
              <w:spacing w:after="40"/>
            </w:pPr>
            <w:r>
              <w:rPr>
                <w:sz w:val="18"/>
              </w:rPr>
            </w:r>
            <w:r>
              <w:rPr>
                <w:b w:val="0"/>
                <w:i w:val="0"/>
                <w:sz w:val="18"/>
              </w:rPr>
              <w:t>partial</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Mainly gram-negative</w:t>
            </w:r>
          </w:p>
        </w:tc>
        <w:tc>
          <w:tcPr>
            <w:tcW w:type="dxa" w:w="2078"/>
          </w:tcPr>
          <w:p>
            <w:pPr>
              <w:spacing w:after="40"/>
            </w:pPr>
            <w:r>
              <w:rPr>
                <w:sz w:val="18"/>
              </w:rPr>
            </w:r>
            <w:r>
              <w:rPr>
                <w:b/>
                <w:i w:val="0"/>
                <w:sz w:val="18"/>
              </w:rPr>
              <w:t>Gram-negative and atypical</w:t>
            </w:r>
            <w:r>
              <w:rPr>
                <w:b w:val="0"/>
                <w:i w:val="0"/>
                <w:sz w:val="18"/>
              </w:rPr>
              <w:t xml:space="preserve"> coverage, with variable Pseudomonas activity. Gram-positive cover is limited.</w:t>
            </w:r>
          </w:p>
        </w:tc>
        <w:tc>
          <w:tcPr>
            <w:tcW w:type="dxa" w:w="2078"/>
          </w:tcPr>
          <w:p>
            <w:pPr>
              <w:spacing w:after="40"/>
            </w:pPr>
            <w:r>
              <w:rPr>
                <w:sz w:val="18"/>
              </w:rPr>
            </w:r>
            <w:r>
              <w:rPr>
                <w:b w:val="0"/>
                <w:i w:val="0"/>
                <w:sz w:val="18"/>
              </w:rPr>
              <w:t>76</w:t>
            </w:r>
          </w:p>
        </w:tc>
      </w:tr>
      <w:tr>
        <w:tc>
          <w:tcPr>
            <w:tcW w:type="dxa" w:w="2078"/>
          </w:tcPr>
          <w:p>
            <w:pPr>
              <w:spacing w:after="40"/>
            </w:pPr>
            <w:r>
              <w:rPr>
                <w:sz w:val="18"/>
              </w:rPr>
            </w:r>
            <w:r>
              <w:rPr>
                <w:b/>
                <w:i w:val="0"/>
                <w:sz w:val="18"/>
              </w:rPr>
              <w:t>Fluoroquinolones — 3rd generation</w:t>
            </w:r>
            <w:r>
              <w:rPr>
                <w:sz w:val="18"/>
              </w:rPr>
              <w:br/>
            </w:r>
            <w:r>
              <w:rPr>
                <w:b w:val="0"/>
                <w:i w:val="0"/>
                <w:sz w:val="18"/>
              </w:rPr>
              <w:t>levofloxacin</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val="0"/>
                <w:i w:val="0"/>
                <w:sz w:val="18"/>
              </w:rPr>
              <w:t xml:space="preserve">Second-generation coverage </w:t>
            </w:r>
            <w:r>
              <w:rPr>
                <w:b/>
                <w:i w:val="0"/>
                <w:sz w:val="18"/>
              </w:rPr>
              <w:t>with improved gram-positive activity</w:t>
            </w:r>
            <w:r>
              <w:rPr>
                <w:b w:val="0"/>
                <w:i w:val="0"/>
                <w:sz w:val="18"/>
              </w:rPr>
              <w:t xml:space="preserve">, and it </w:t>
            </w:r>
            <w:r>
              <w:rPr>
                <w:b/>
                <w:i w:val="0"/>
                <w:sz w:val="18"/>
              </w:rPr>
              <w:t>keeps</w:t>
            </w:r>
            <w:r>
              <w:rPr>
                <w:b w:val="0"/>
                <w:i w:val="0"/>
                <w:sz w:val="18"/>
              </w:rPr>
              <w:t xml:space="preserve"> Pseudomonas. Community-acquired pneumonia.</w:t>
            </w:r>
          </w:p>
        </w:tc>
        <w:tc>
          <w:tcPr>
            <w:tcW w:type="dxa" w:w="2078"/>
          </w:tcPr>
          <w:p>
            <w:pPr>
              <w:spacing w:after="40"/>
            </w:pPr>
            <w:r>
              <w:rPr>
                <w:sz w:val="18"/>
              </w:rPr>
            </w:r>
            <w:r>
              <w:rPr>
                <w:b w:val="0"/>
                <w:i w:val="0"/>
                <w:sz w:val="18"/>
              </w:rPr>
              <w:t>77</w:t>
            </w:r>
          </w:p>
        </w:tc>
      </w:tr>
      <w:tr>
        <w:tc>
          <w:tcPr>
            <w:tcW w:type="dxa" w:w="2078"/>
          </w:tcPr>
          <w:p>
            <w:pPr>
              <w:spacing w:after="40"/>
            </w:pPr>
            <w:r>
              <w:rPr>
                <w:sz w:val="18"/>
              </w:rPr>
            </w:r>
            <w:r>
              <w:rPr>
                <w:b/>
                <w:i w:val="0"/>
                <w:sz w:val="18"/>
              </w:rPr>
              <w:t>Fluoroquinolones — 3rd generation</w:t>
            </w:r>
            <w:r>
              <w:rPr>
                <w:sz w:val="18"/>
              </w:rPr>
              <w:br/>
            </w:r>
            <w:r>
              <w:rPr>
                <w:b w:val="0"/>
                <w:i w:val="0"/>
                <w:sz w:val="18"/>
              </w:rPr>
              <w:t>moxifloxacin</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val="0"/>
                <w:i w:val="0"/>
                <w:sz w:val="18"/>
              </w:rPr>
              <w:t xml:space="preserve">Second-generation coverage with improved gram-positive activity, but </w:t>
            </w:r>
            <w:r>
              <w:rPr>
                <w:b/>
                <w:i w:val="0"/>
                <w:sz w:val="18"/>
              </w:rPr>
              <w:t>loses</w:t>
            </w:r>
            <w:r>
              <w:rPr>
                <w:b w:val="0"/>
                <w:i w:val="0"/>
                <w:sz w:val="18"/>
              </w:rPr>
              <w:t xml:space="preserve"> Pseudomonas. Community-acquired pneumonia.</w:t>
            </w:r>
          </w:p>
        </w:tc>
        <w:tc>
          <w:tcPr>
            <w:tcW w:type="dxa" w:w="2078"/>
          </w:tcPr>
          <w:p>
            <w:pPr>
              <w:spacing w:after="40"/>
            </w:pPr>
            <w:r>
              <w:rPr>
                <w:sz w:val="18"/>
              </w:rPr>
            </w:r>
            <w:r>
              <w:rPr>
                <w:b w:val="0"/>
                <w:i w:val="0"/>
                <w:sz w:val="18"/>
              </w:rPr>
              <w:t>78</w:t>
            </w:r>
          </w:p>
        </w:tc>
      </w:tr>
      <w:tr>
        <w:tc>
          <w:tcPr>
            <w:tcW w:type="dxa" w:w="2078"/>
          </w:tcPr>
          <w:p>
            <w:pPr>
              <w:spacing w:after="40"/>
            </w:pPr>
            <w:r>
              <w:rPr>
                <w:sz w:val="18"/>
              </w:rPr>
            </w:r>
            <w:r>
              <w:rPr>
                <w:b/>
                <w:i w:val="0"/>
                <w:sz w:val="18"/>
              </w:rPr>
              <w:t>Clindamycin</w:t>
            </w:r>
            <w:r>
              <w:rPr>
                <w:sz w:val="18"/>
              </w:rPr>
              <w:br/>
            </w:r>
            <w:r>
              <w:rPr>
                <w:b w:val="0"/>
                <w:i w:val="0"/>
                <w:sz w:val="18"/>
              </w:rPr>
              <w:t>clindamycin</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Mainly gram-positive</w:t>
            </w:r>
          </w:p>
        </w:tc>
        <w:tc>
          <w:tcPr>
            <w:tcW w:type="dxa" w:w="2078"/>
          </w:tcPr>
          <w:p>
            <w:pPr>
              <w:spacing w:after="40"/>
            </w:pPr>
            <w:r>
              <w:rPr>
                <w:sz w:val="18"/>
              </w:rPr>
            </w:r>
            <w:r>
              <w:rPr>
                <w:b w:val="0"/>
                <w:i w:val="0"/>
                <w:sz w:val="18"/>
              </w:rPr>
              <w:t xml:space="preserve">Gram-positive aerobes </w:t>
            </w:r>
            <w:r>
              <w:rPr>
                <w:b/>
                <w:i w:val="0"/>
                <w:sz w:val="18"/>
              </w:rPr>
              <w:t>including MRSA</w:t>
            </w:r>
            <w:r>
              <w:rPr>
                <w:b w:val="0"/>
                <w:i w:val="0"/>
                <w:sz w:val="18"/>
              </w:rPr>
              <w:t>, and gram-positive anaerobes. It binds toxin, which is why it appears in toxic shock.</w:t>
            </w:r>
          </w:p>
        </w:tc>
        <w:tc>
          <w:tcPr>
            <w:tcW w:type="dxa" w:w="2078"/>
          </w:tcPr>
          <w:p>
            <w:pPr>
              <w:spacing w:after="40"/>
            </w:pPr>
            <w:r>
              <w:rPr>
                <w:sz w:val="18"/>
              </w:rPr>
            </w:r>
            <w:r>
              <w:rPr>
                <w:b w:val="0"/>
                <w:i w:val="0"/>
                <w:sz w:val="18"/>
              </w:rPr>
              <w:t>80</w:t>
            </w:r>
          </w:p>
        </w:tc>
      </w:tr>
      <w:tr>
        <w:tc>
          <w:tcPr>
            <w:tcW w:type="dxa" w:w="2078"/>
          </w:tcPr>
          <w:p>
            <w:pPr>
              <w:spacing w:after="40"/>
            </w:pPr>
            <w:r>
              <w:rPr>
                <w:sz w:val="18"/>
              </w:rPr>
            </w:r>
            <w:r>
              <w:rPr>
                <w:b/>
                <w:i w:val="0"/>
                <w:sz w:val="18"/>
              </w:rPr>
              <w:t>Sulfamethoxazole and trimethoprim</w:t>
            </w:r>
            <w:r>
              <w:rPr>
                <w:sz w:val="18"/>
              </w:rPr>
              <w:br/>
            </w:r>
            <w:r>
              <w:rPr>
                <w:b w:val="0"/>
                <w:i w:val="0"/>
                <w:sz w:val="18"/>
              </w:rPr>
              <w:t>sulfamethoxazole/trimethoprim</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Both equally</w:t>
            </w:r>
          </w:p>
        </w:tc>
        <w:tc>
          <w:tcPr>
            <w:tcW w:type="dxa" w:w="2078"/>
          </w:tcPr>
          <w:p>
            <w:pPr>
              <w:spacing w:after="40"/>
            </w:pPr>
            <w:r>
              <w:rPr>
                <w:sz w:val="18"/>
              </w:rPr>
            </w:r>
            <w:r>
              <w:rPr>
                <w:b w:val="0"/>
                <w:i w:val="0"/>
                <w:sz w:val="18"/>
              </w:rPr>
              <w:t xml:space="preserve">Gram-positive aerobes </w:t>
            </w:r>
            <w:r>
              <w:rPr>
                <w:b/>
                <w:i w:val="0"/>
                <w:sz w:val="18"/>
              </w:rPr>
              <w:t>including MRSA</w:t>
            </w:r>
            <w:r>
              <w:rPr>
                <w:b w:val="0"/>
                <w:i w:val="0"/>
                <w:sz w:val="18"/>
              </w:rPr>
              <w:t xml:space="preserve">, and gram-negative aerobes. Does </w:t>
            </w:r>
            <w:r>
              <w:rPr>
                <w:b/>
                <w:i w:val="0"/>
                <w:sz w:val="18"/>
              </w:rPr>
              <w:t>not</w:t>
            </w:r>
            <w:r>
              <w:rPr>
                <w:b w:val="0"/>
                <w:i w:val="0"/>
                <w:sz w:val="18"/>
              </w:rPr>
              <w:t xml:space="preserve"> cover enterococci.</w:t>
            </w:r>
          </w:p>
        </w:tc>
        <w:tc>
          <w:tcPr>
            <w:tcW w:type="dxa" w:w="2078"/>
          </w:tcPr>
          <w:p>
            <w:pPr>
              <w:spacing w:after="40"/>
            </w:pPr>
            <w:r>
              <w:rPr>
                <w:sz w:val="18"/>
              </w:rPr>
            </w:r>
            <w:r>
              <w:rPr>
                <w:b w:val="0"/>
                <w:i w:val="0"/>
                <w:sz w:val="18"/>
              </w:rPr>
              <w:t>83</w:t>
            </w:r>
          </w:p>
        </w:tc>
      </w:tr>
      <w:tr>
        <w:tc>
          <w:tcPr>
            <w:tcW w:type="dxa" w:w="2078"/>
          </w:tcPr>
          <w:p>
            <w:pPr>
              <w:spacing w:after="40"/>
            </w:pPr>
            <w:r>
              <w:rPr>
                <w:sz w:val="18"/>
              </w:rPr>
            </w:r>
            <w:r>
              <w:rPr>
                <w:b/>
                <w:i w:val="0"/>
                <w:sz w:val="18"/>
              </w:rPr>
              <w:t>Metronidazole</w:t>
            </w:r>
            <w:r>
              <w:rPr>
                <w:sz w:val="18"/>
              </w:rPr>
              <w:br/>
            </w:r>
            <w:r>
              <w:rPr>
                <w:b w:val="0"/>
                <w:i w:val="0"/>
                <w:sz w:val="18"/>
              </w:rPr>
              <w:t>metronidazole</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Neither — anaerobes</w:t>
            </w:r>
          </w:p>
        </w:tc>
        <w:tc>
          <w:tcPr>
            <w:tcW w:type="dxa" w:w="2078"/>
          </w:tcPr>
          <w:p>
            <w:pPr>
              <w:spacing w:after="40"/>
            </w:pPr>
            <w:r>
              <w:rPr>
                <w:sz w:val="18"/>
              </w:rPr>
            </w:r>
            <w:r>
              <w:rPr>
                <w:b/>
                <w:i w:val="0"/>
                <w:sz w:val="18"/>
              </w:rPr>
              <w:t>Anaerobes only</w:t>
            </w:r>
            <w:r>
              <w:rPr>
                <w:b w:val="0"/>
                <w:i w:val="0"/>
                <w:sz w:val="18"/>
              </w:rPr>
              <w:t xml:space="preserve"> — gram-positive and gram-negative anaerobes. The alcohol interaction is its signature.</w:t>
            </w:r>
          </w:p>
        </w:tc>
        <w:tc>
          <w:tcPr>
            <w:tcW w:type="dxa" w:w="2078"/>
          </w:tcPr>
          <w:p>
            <w:pPr>
              <w:spacing w:after="40"/>
            </w:pPr>
            <w:r>
              <w:rPr>
                <w:sz w:val="18"/>
              </w:rPr>
            </w:r>
            <w:r>
              <w:rPr>
                <w:b w:val="0"/>
                <w:i w:val="0"/>
                <w:sz w:val="18"/>
              </w:rPr>
              <w:t>86</w:t>
            </w:r>
          </w:p>
        </w:tc>
      </w:tr>
      <w:tr>
        <w:tc>
          <w:tcPr>
            <w:tcW w:type="dxa" w:w="2078"/>
          </w:tcPr>
          <w:p>
            <w:pPr>
              <w:spacing w:after="40"/>
            </w:pPr>
            <w:r>
              <w:rPr>
                <w:sz w:val="18"/>
              </w:rPr>
            </w:r>
            <w:r>
              <w:rPr>
                <w:b/>
                <w:i w:val="0"/>
                <w:sz w:val="18"/>
              </w:rPr>
              <w:t>Polymyxins</w:t>
            </w:r>
            <w:r>
              <w:rPr>
                <w:sz w:val="18"/>
              </w:rPr>
              <w:br/>
            </w:r>
            <w:r>
              <w:rPr>
                <w:b w:val="0"/>
                <w:i w:val="0"/>
                <w:sz w:val="18"/>
              </w:rPr>
              <w:t>polymyxin B, colistin (polymyxin E)</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covers</w:t>
            </w:r>
          </w:p>
        </w:tc>
        <w:tc>
          <w:tcPr>
            <w:tcW w:type="dxa" w:w="2078"/>
          </w:tcPr>
          <w:p>
            <w:pPr>
              <w:spacing w:after="40"/>
            </w:pPr>
            <w:r>
              <w:rPr>
                <w:sz w:val="18"/>
              </w:rPr>
            </w:r>
            <w:r>
              <w:rPr>
                <w:b w:val="0"/>
                <w:i w:val="0"/>
                <w:sz w:val="18"/>
              </w:rPr>
              <w:t>no</w:t>
            </w:r>
          </w:p>
        </w:tc>
        <w:tc>
          <w:tcPr>
            <w:tcW w:type="dxa" w:w="2078"/>
          </w:tcPr>
          <w:p>
            <w:pPr>
              <w:spacing w:after="40"/>
            </w:pPr>
            <w:r>
              <w:rPr>
                <w:sz w:val="18"/>
              </w:rPr>
            </w:r>
            <w:r>
              <w:rPr>
                <w:b w:val="0"/>
                <w:i w:val="0"/>
                <w:sz w:val="18"/>
              </w:rPr>
              <w:t>Mainly gram-negative</w:t>
            </w:r>
          </w:p>
        </w:tc>
        <w:tc>
          <w:tcPr>
            <w:tcW w:type="dxa" w:w="2078"/>
          </w:tcPr>
          <w:p>
            <w:pPr>
              <w:spacing w:after="40"/>
            </w:pPr>
            <w:r>
              <w:rPr>
                <w:sz w:val="18"/>
              </w:rPr>
            </w:r>
            <w:r>
              <w:rPr>
                <w:b/>
                <w:i w:val="0"/>
                <w:sz w:val="18"/>
              </w:rPr>
              <w:t>Gram-negative only.</w:t>
            </w:r>
            <w:r>
              <w:rPr>
                <w:b w:val="0"/>
                <w:i w:val="0"/>
                <w:sz w:val="18"/>
              </w:rPr>
              <w:t xml:space="preserve"> A detergent-like mechanism against the lipopolysaccharide of the gram-negative outer membrane.</w:t>
            </w:r>
          </w:p>
        </w:tc>
        <w:tc>
          <w:tcPr>
            <w:tcW w:type="dxa" w:w="2078"/>
          </w:tcPr>
          <w:p>
            <w:pPr>
              <w:spacing w:after="40"/>
            </w:pPr>
            <w:r>
              <w:rPr>
                <w:sz w:val="18"/>
              </w:rPr>
            </w:r>
            <w:r>
              <w:rPr>
                <w:b w:val="0"/>
                <w:i w:val="0"/>
                <w:sz w:val="18"/>
              </w:rPr>
              <w:t>87</w:t>
            </w:r>
          </w:p>
        </w:tc>
      </w:tr>
    </w:tbl>
    <w:p>
      <w:pPr>
        <w:spacing w:after="80"/>
      </w:pPr>
    </w:p>
    <w:p>
      <w:pPr>
        <w:spacing w:after="120"/>
      </w:pPr>
      <w:r>
        <w:rPr>
          <w:b w:val="0"/>
          <w:i w:val="0"/>
        </w:rPr>
        <w:t xml:space="preserve"> Verdicts extracted by </w:t>
      </w:r>
      <w:r>
        <w:rPr>
          <w:rFonts w:ascii="Consolas" w:hAnsi="Consolas"/>
          <w:b w:val="0"/>
          <w:i w:val="0"/>
          <w:sz w:val="18"/>
        </w:rPr>
        <w:t>tools/extract_pharm_gram_coverage.py</w:t>
      </w:r>
      <w:r>
        <w:rPr>
          <w:b w:val="0"/>
          <w:i w:val="0"/>
        </w:rPr>
        <w:t xml:space="preserve"> directly from the lecture deck, so a cell cannot drift from the slide it cites. </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