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Killers, Commons and Zebras</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1 · Class of 2028</w:t>
      </w:r>
    </w:p>
    <w:p>
      <w:pPr>
        <w:spacing w:after="120"/>
      </w:pPr>
      <w:r>
        <w:rPr>
          <w:b w:val="0"/>
          <w:i w:val="0"/>
        </w:rPr>
        <w:t>Dr. Wood’s own framework for sorting every adverse effect, from the exam review the evening before the paper. 7 killers, 6 groups of commons and 9 zebras, each citing its slide.</w:t>
      </w:r>
    </w:p>
    <w:p>
      <w:pPr>
        <w:spacing w:after="120"/>
      </w:pPr>
      <w:r>
        <w:rPr>
          <w:b w:val="0"/>
          <w:i w:val="0"/>
        </w:rPr>
        <w:t xml:space="preserve">Three buckets, from the exam review. The </w:t>
      </w:r>
      <w:r>
        <w:rPr>
          <w:b/>
          <w:i w:val="0"/>
        </w:rPr>
        <w:t>nine badged entries are effects he named himself</w:t>
      </w:r>
      <w:r>
        <w:rPr>
          <w:b w:val="0"/>
          <w:i w:val="0"/>
        </w:rPr>
        <w:t>; the rest are the decks’ adverse effects sorted by his criteria, each citing its slide.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a framework beats a list.</w:t>
            </w:r>
            <w:r>
              <w:rPr>
                <w:b w:val="0"/>
                <w:i w:val="0"/>
              </w:rPr>
              <w:t xml:space="preserve"> The side-effects reference on this site is organized by drug, which is the right shape for looking something up and the wrong shape for revising. This one is organized the way he said he thinks about them, which is the shape the question comes in. Use both: </w:t>
            </w:r>
            <w:r>
              <w:rPr>
                <w:b w:val="0"/>
                <w:i w:val="0"/>
              </w:rPr>
              <w:t>the full side-effects chart is here</w:t>
            </w:r>
            <w:r>
              <w:rPr>
                <w:b w:val="0"/>
                <w:i w:val="0"/>
              </w:rPr>
              <w:t>.</w:t>
            </w:r>
          </w:p>
        </w:tc>
      </w:tr>
    </w:tbl>
    <w:p>
      <w:pPr>
        <w:spacing w:after="80"/>
      </w:pPr>
    </w:p>
    <w:p>
      <w:pPr>
        <w:pStyle w:val="Heading1"/>
        <w:spacing w:before="280" w:after="100"/>
      </w:pPr>
      <w:r>
        <w:rPr>
          <w:rFonts w:ascii="Georgia" w:hAnsi="Georgia"/>
          <w:color w:val="6B3524"/>
        </w:rPr>
        <w:t>How to use this his framework, not a list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Asked which adverse effects to focus on, Dr. Wood did not give a list — he gave three buckets and told the class to sort everything into them. </w:t>
            </w:r>
            <w:r>
              <w:rPr>
                <w:b/>
                <w:i w:val="0"/>
              </w:rPr>
              <w:t>The sorting is the revision.</w:t>
            </w:r>
            <w:r>
              <w:rPr>
                <w:b w:val="0"/>
                <w:i w:val="0"/>
              </w:rPr>
              <w:t xml:space="preserve"> Take any side effect you have learned and ask: would this kill them, does it happen to nearly everyone on the group, or is it the one strange thing that belongs to this drug alone?</w:t>
            </w:r>
            <w:r>
              <w:br/>
            </w:r>
            <w:r>
              <w:br/>
            </w:r>
            <w:r>
              <w:rPr>
                <w:b/>
                <w:i w:val="0"/>
              </w:rPr>
              <w:t>Where he said to aim:</w:t>
            </w:r>
            <w:r>
              <w:rPr>
                <w:b w:val="0"/>
                <w:i w:val="0"/>
              </w:rPr>
              <w:t xml:space="preserve"> </w:t>
            </w:r>
            <w:r>
              <w:rPr>
                <w:b w:val="0"/>
                <w:i/>
              </w:rPr>
              <w:t>“Any time you see those killers or the zebras, those are always things you should look at.”</w:t>
            </w:r>
            <w:r>
              <w:rPr>
                <w:b w:val="0"/>
                <w:i w:val="0"/>
              </w:rPr>
              <w:t xml:space="preserve"> The commons cover a good share of what he asks and mostly come free with the group; the killers and the zebras are each worth about a question.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What is his and what is not.</w:t>
            </w:r>
            <w:r>
              <w:rPr>
                <w:b w:val="0"/>
                <w:i w:val="0"/>
              </w:rPr>
              <w:t xml:space="preserve"> The nine entries badged </w:t>
            </w:r>
            <w:r>
              <w:rPr>
                <w:b w:val="0"/>
                <w:i w:val="0"/>
              </w:rPr>
              <w:t>his example</w:t>
            </w:r>
            <w:r>
              <w:rPr>
                <w:b w:val="0"/>
                <w:i w:val="0"/>
              </w:rPr>
              <w:t xml:space="preserve"> are effects he named himself at the review. The rest are the lecture decks’ own adverse effects sorted by his criteria, each citing its slide. He did not assign those buckets — his rule did, and you can check every one against the slide beside it.</w:t>
            </w:r>
          </w:p>
        </w:tc>
      </w:tr>
    </w:tbl>
    <w:p>
      <w:pPr>
        <w:spacing w:after="80"/>
      </w:pPr>
    </w:p>
    <w:p>
      <w:pPr>
        <w:pStyle w:val="Heading1"/>
        <w:spacing w:before="280" w:after="100"/>
      </w:pPr>
      <w:r>
        <w:rPr>
          <w:rFonts w:ascii="Georgia" w:hAnsi="Georgia"/>
          <w:color w:val="6B3524"/>
        </w:rPr>
        <w:t>Killers 7</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Dangerous. </w:t>
            </w:r>
            <w:r>
              <w:rPr>
                <w:b/>
                <w:i w:val="0"/>
              </w:rPr>
              <w:t>Immediate discontinuation and evaluation.</w:t>
            </w:r>
            <w:r>
              <w:rPr>
                <w:b w:val="0"/>
                <w:i w:val="0"/>
              </w:rPr>
              <w:t xml:space="preserve"> Not necessarily the commonest — these are the ones you warn the patient about </w:t>
            </w:r>
            <w:r>
              <w:rPr>
                <w:b w:val="0"/>
                <w:i/>
              </w:rPr>
              <w:t>in advance</w:t>
            </w:r>
            <w:r>
              <w:rPr>
                <w:b w:val="0"/>
                <w:i w:val="0"/>
              </w:rPr>
              <w:t>, so that they do not decide that skin sloughing off is a normal side effect.</w:t>
            </w:r>
          </w:p>
        </w:tc>
      </w:tr>
    </w:tbl>
    <w:p>
      <w:pPr>
        <w:spacing w:after="80"/>
      </w:pPr>
    </w:p>
    <w:p>
      <w:pPr>
        <w:spacing w:after="120"/>
      </w:pPr>
      <w:r>
        <w:rPr>
          <w:b/>
          <w:i w:val="0"/>
        </w:rPr>
        <w:t>Anaphylaxis</w:t>
      </w:r>
      <w:r>
        <w:rPr>
          <w:b w:val="0"/>
          <w:i w:val="0"/>
        </w:rPr>
        <w:t>his example</w:t>
      </w:r>
    </w:p>
    <w:p>
      <w:pPr>
        <w:spacing w:after="120"/>
      </w:pPr>
      <w:r>
        <w:rPr>
          <w:b w:val="0"/>
          <w:i w:val="0"/>
        </w:rPr>
        <w:t>Penicillins — the whole class, and the carbapenems and monobactam</w:t>
      </w:r>
    </w:p>
    <w:p>
      <w:pPr>
        <w:spacing w:after="120"/>
      </w:pPr>
      <w:r>
        <w:rPr>
          <w:b w:val="0"/>
          <w:i w:val="0"/>
        </w:rPr>
        <w:t xml:space="preserve">The deck asks for monitoring for signs and symptoms of anaphylaxis on the natural penicillins, the penicillinase-resistant penicillins, the antipseudomonal penicillins, aztreonam and the carbapenems — five separate slides. </w:t>
      </w:r>
      <w:r>
        <w:rPr>
          <w:b/>
          <w:i w:val="0"/>
        </w:rPr>
        <w:t>Stop the drug and evaluate.</w:t>
      </w:r>
    </w:p>
    <w:p>
      <w:pPr>
        <w:spacing w:after="120"/>
      </w:pPr>
      <w:r>
        <w:rPr>
          <w:b w:val="0"/>
          <w:i w:val="0"/>
        </w:rPr>
        <w:t>Antibiotics, Antivirals, and Antifungals · slide 17</w:t>
      </w:r>
    </w:p>
    <w:p>
      <w:pPr>
        <w:spacing w:after="120"/>
      </w:pPr>
      <w:r>
        <w:rPr>
          <w:b/>
          <w:i w:val="0"/>
        </w:rPr>
        <w:t>Stevens-Johnson syndrome and toxic epidermal necrolysis</w:t>
      </w:r>
      <w:r>
        <w:rPr>
          <w:b w:val="0"/>
          <w:i w:val="0"/>
        </w:rPr>
        <w:t>his example</w:t>
      </w:r>
    </w:p>
    <w:p>
      <w:pPr>
        <w:spacing w:after="120"/>
      </w:pPr>
      <w:r>
        <w:rPr>
          <w:b w:val="0"/>
          <w:i w:val="0"/>
        </w:rPr>
        <w:t>aminopenicillins; sulfamethoxazole/trimethoprim</w:t>
      </w:r>
    </w:p>
    <w:p>
      <w:pPr>
        <w:spacing w:after="120"/>
      </w:pPr>
      <w:r>
        <w:rPr>
          <w:b/>
          <w:i w:val="0"/>
        </w:rPr>
        <w:t>His own example of a killer.</w:t>
      </w:r>
      <w:r>
        <w:rPr>
          <w:b w:val="0"/>
          <w:i w:val="0"/>
        </w:rPr>
        <w:t xml:space="preserve"> Skin sloughing is not a side effect to tolerate — he made the point that patients must be told in advance so they do not assume it is normal.</w:t>
      </w:r>
    </w:p>
    <w:p>
      <w:pPr>
        <w:spacing w:after="120"/>
      </w:pPr>
      <w:r>
        <w:rPr>
          <w:b w:val="0"/>
          <w:i w:val="0"/>
        </w:rPr>
        <w:t>Antibiotics, Antivirals, and Antifungals · slide 21</w:t>
      </w:r>
    </w:p>
    <w:p>
      <w:pPr>
        <w:spacing w:after="120"/>
      </w:pPr>
      <w:r>
        <w:rPr>
          <w:b/>
          <w:i w:val="0"/>
        </w:rPr>
        <w:t>Suicidal ideation and worsening depression</w:t>
      </w:r>
      <w:r>
        <w:rPr>
          <w:b w:val="0"/>
          <w:i w:val="0"/>
        </w:rPr>
        <w:t>his example</w:t>
      </w:r>
    </w:p>
    <w:p>
      <w:pPr>
        <w:spacing w:after="120"/>
      </w:pPr>
      <w:r>
        <w:rPr>
          <w:b w:val="0"/>
          <w:i w:val="0"/>
        </w:rPr>
        <w:t>isotretinoin</w:t>
      </w:r>
    </w:p>
    <w:p>
      <w:pPr>
        <w:spacing w:after="120"/>
      </w:pPr>
      <w:r>
        <w:rPr>
          <w:b/>
          <w:i w:val="0"/>
        </w:rPr>
        <w:t>His own example of a killer.</w:t>
      </w:r>
      <w:r>
        <w:rPr>
          <w:b w:val="0"/>
          <w:i w:val="0"/>
        </w:rPr>
        <w:t xml:space="preserve"> The deck instructs monitoring for signs of developing depression, and the drug is also contraindicated in pregnancy and breastfeeding with the iPledge program attached.</w:t>
      </w:r>
    </w:p>
    <w:p>
      <w:pPr>
        <w:spacing w:after="120"/>
      </w:pPr>
      <w:r>
        <w:rPr>
          <w:b w:val="0"/>
          <w:i w:val="0"/>
        </w:rPr>
        <w:t>Dermatology Medications · slide 27</w:t>
      </w:r>
    </w:p>
    <w:p>
      <w:pPr>
        <w:spacing w:after="120"/>
      </w:pPr>
      <w:r>
        <w:rPr>
          <w:b/>
          <w:i w:val="0"/>
        </w:rPr>
        <w:t>Clostridioides difficile infection and pseudomembranous colitis</w:t>
      </w:r>
    </w:p>
    <w:p>
      <w:pPr>
        <w:spacing w:after="120"/>
      </w:pPr>
      <w:r>
        <w:rPr>
          <w:b w:val="0"/>
          <w:i w:val="0"/>
        </w:rPr>
        <w:t>clindamycin; aminopenicillins; fluoroquinolones</w:t>
      </w:r>
    </w:p>
    <w:p>
      <w:pPr>
        <w:spacing w:after="120"/>
      </w:pPr>
      <w:r>
        <w:rPr>
          <w:b w:val="0"/>
          <w:i w:val="0"/>
        </w:rPr>
        <w:t xml:space="preserve">Clindamycin is the one classically named for it. </w:t>
      </w:r>
      <w:r>
        <w:rPr>
          <w:b/>
          <w:i w:val="0"/>
        </w:rPr>
        <w:t>Stop the antibiotic and treat.</w:t>
      </w:r>
    </w:p>
    <w:p>
      <w:pPr>
        <w:spacing w:after="120"/>
      </w:pPr>
      <w:r>
        <w:rPr>
          <w:b w:val="0"/>
          <w:i w:val="0"/>
        </w:rPr>
        <w:t>Antibiotics, Antivirals, and Antifungals · slide 81</w:t>
      </w:r>
    </w:p>
    <w:p>
      <w:pPr>
        <w:spacing w:after="120"/>
      </w:pPr>
      <w:r>
        <w:rPr>
          <w:b/>
          <w:i w:val="0"/>
        </w:rPr>
        <w:t>Torsades de pointes from QT prolongation</w:t>
      </w:r>
    </w:p>
    <w:p>
      <w:pPr>
        <w:spacing w:after="120"/>
      </w:pPr>
      <w:r>
        <w:rPr>
          <w:b w:val="0"/>
          <w:i w:val="0"/>
        </w:rPr>
        <w:t>macrolides; fluoroquinolones; azoles</w:t>
      </w:r>
    </w:p>
    <w:p>
      <w:pPr>
        <w:spacing w:after="120"/>
      </w:pPr>
      <w:r>
        <w:rPr>
          <w:b w:val="0"/>
          <w:i w:val="0"/>
        </w:rPr>
        <w:t xml:space="preserve">The deck gives QT prolongation its own slide. On the fluoroquinolones it is listed with torsades by name. </w:t>
      </w:r>
      <w:r>
        <w:rPr>
          <w:b/>
          <w:i w:val="0"/>
        </w:rPr>
        <w:t>An arrhythmia, not an inconvenience.</w:t>
      </w:r>
    </w:p>
    <w:p>
      <w:pPr>
        <w:spacing w:after="120"/>
      </w:pPr>
      <w:r>
        <w:rPr>
          <w:b w:val="0"/>
          <w:i w:val="0"/>
        </w:rPr>
        <w:t>Antibiotics, Antivirals, and Antifungals · slide 58</w:t>
      </w:r>
    </w:p>
    <w:p>
      <w:pPr>
        <w:spacing w:after="120"/>
      </w:pPr>
      <w:r>
        <w:rPr>
          <w:b/>
          <w:i w:val="0"/>
        </w:rPr>
        <w:t>Serotonin syndrome</w:t>
      </w:r>
    </w:p>
    <w:p>
      <w:pPr>
        <w:spacing w:after="120"/>
      </w:pPr>
      <w:r>
        <w:rPr>
          <w:b w:val="0"/>
          <w:i w:val="0"/>
        </w:rPr>
        <w:t>linezolid</w:t>
      </w:r>
    </w:p>
    <w:p>
      <w:pPr>
        <w:spacing w:after="120"/>
      </w:pPr>
      <w:r>
        <w:rPr>
          <w:b w:val="0"/>
          <w:i w:val="0"/>
        </w:rPr>
        <w:t xml:space="preserve">Listed on the linezolid slide with its triggers: </w:t>
      </w:r>
      <w:r>
        <w:rPr>
          <w:b/>
          <w:i w:val="0"/>
        </w:rPr>
        <w:t>selective serotonin reuptake inhibitors, tyramine-containing foods and pseudoephedrine</w:t>
      </w:r>
      <w:r>
        <w:rPr>
          <w:b w:val="0"/>
          <w:i w:val="0"/>
        </w:rPr>
        <w:t>. Linezolid is a monoamine oxidase inhibitor, which is why an antibiotic is on this list at all.</w:t>
      </w:r>
    </w:p>
    <w:p>
      <w:pPr>
        <w:spacing w:after="120"/>
      </w:pPr>
      <w:r>
        <w:rPr>
          <w:b w:val="0"/>
          <w:i w:val="0"/>
        </w:rPr>
        <w:t>Antibiotics, Antivirals, and Antifungals · slide 71</w:t>
      </w:r>
    </w:p>
    <w:p>
      <w:pPr>
        <w:spacing w:after="120"/>
      </w:pPr>
      <w:r>
        <w:rPr>
          <w:b/>
          <w:i w:val="0"/>
        </w:rPr>
        <w:t>Seizures</w:t>
      </w:r>
    </w:p>
    <w:p>
      <w:pPr>
        <w:spacing w:after="120"/>
      </w:pPr>
      <w:r>
        <w:rPr>
          <w:b w:val="0"/>
          <w:i w:val="0"/>
        </w:rPr>
        <w:t>carbapenems; acyclovir and ganciclovir at high levels</w:t>
      </w:r>
    </w:p>
    <w:p>
      <w:pPr>
        <w:spacing w:after="120"/>
      </w:pPr>
      <w:r>
        <w:rPr>
          <w:b w:val="0"/>
          <w:i w:val="0"/>
        </w:rPr>
        <w:t>On the carbapenem slide directly. It is the reason the class is not simply the safe broad-spectrum default.</w:t>
      </w:r>
    </w:p>
    <w:p>
      <w:pPr>
        <w:spacing w:after="120"/>
      </w:pPr>
      <w:r>
        <w:rPr>
          <w:b w:val="0"/>
          <w:i w:val="0"/>
        </w:rPr>
        <w:t>Antibiotics, Antivirals, and Antifungals · slide 44</w:t>
      </w:r>
    </w:p>
    <w:p>
      <w:pPr>
        <w:pStyle w:val="Heading1"/>
        <w:spacing w:before="280" w:after="100"/>
      </w:pPr>
      <w:r>
        <w:rPr>
          <w:rFonts w:ascii="Georgia" w:hAnsi="Georgia"/>
          <w:color w:val="6B3524"/>
        </w:rPr>
        <w:t>Commons 6</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What actually happens, often. </w:t>
            </w:r>
            <w:r>
              <w:rPr>
                <w:b/>
                <w:i w:val="0"/>
              </w:rPr>
              <w:t>These belong to the GROUP, not the drug.</w:t>
            </w:r>
            <w:r>
              <w:rPr>
                <w:b w:val="0"/>
                <w:i w:val="0"/>
              </w:rPr>
              <w:t xml:space="preserve"> Asked whether the common effects of penicillins, cephalosporins and carbapenems need learning separately, he said </w:t>
            </w:r>
            <w:r>
              <w:rPr>
                <w:b w:val="0"/>
                <w:i/>
              </w:rPr>
              <w:t>“no, they’re all the same”</w:t>
            </w:r>
            <w:r>
              <w:rPr>
                <w:b w:val="0"/>
                <w:i w:val="0"/>
              </w:rPr>
              <w:t xml:space="preserve"> — so they are listed by group here, and the effort goes where a class breaks the pattern.</w:t>
            </w:r>
          </w:p>
        </w:tc>
      </w:tr>
    </w:tbl>
    <w:p>
      <w:pPr>
        <w:spacing w:after="80"/>
      </w:pPr>
    </w:p>
    <w:p>
      <w:pPr>
        <w:spacing w:after="120"/>
      </w:pPr>
      <w:r>
        <w:rPr>
          <w:b/>
          <w:i w:val="0"/>
        </w:rPr>
        <w:t>Every antibiotic</w:t>
      </w:r>
      <w:r>
        <w:rPr>
          <w:b w:val="0"/>
          <w:i w:val="0"/>
        </w:rPr>
        <w:t>his example</w:t>
      </w:r>
    </w:p>
    <w:p>
      <w:pPr>
        <w:spacing w:after="120"/>
      </w:pPr>
      <w:r>
        <w:rPr>
          <w:b w:val="0"/>
          <w:i w:val="0"/>
        </w:rPr>
        <w:t>Gastrointestinal upset — nausea, vomiting, diarrhea</w:t>
      </w:r>
    </w:p>
    <w:p>
      <w:pPr>
        <w:spacing w:after="120"/>
      </w:pPr>
      <w:r>
        <w:rPr>
          <w:b/>
          <w:i w:val="0"/>
        </w:rPr>
        <w:t>His own example, and the whole point of the bucket.</w:t>
      </w:r>
      <w:r>
        <w:rPr>
          <w:b w:val="0"/>
          <w:i w:val="0"/>
        </w:rPr>
        <w:t xml:space="preserve"> Almost every antibiotic causes this in somebody. Tell the patient it is expected; it may or may not warrant changing therapy.</w:t>
      </w:r>
    </w:p>
    <w:p>
      <w:pPr>
        <w:spacing w:after="120"/>
      </w:pPr>
      <w:r>
        <w:rPr>
          <w:b w:val="0"/>
          <w:i w:val="0"/>
        </w:rPr>
        <w:t>Antibiotics, Antivirals, and Antifungals · slide 22</w:t>
      </w:r>
    </w:p>
    <w:p>
      <w:pPr>
        <w:spacing w:after="120"/>
      </w:pPr>
      <w:r>
        <w:rPr>
          <w:b/>
          <w:i w:val="0"/>
        </w:rPr>
        <w:t>All beta-lactams — penicillins, cephalosporins, carbapenems</w:t>
      </w:r>
      <w:r>
        <w:rPr>
          <w:b w:val="0"/>
          <w:i w:val="0"/>
        </w:rPr>
        <w:t>his example</w:t>
      </w:r>
    </w:p>
    <w:p>
      <w:pPr>
        <w:spacing w:after="120"/>
      </w:pPr>
      <w:r>
        <w:rPr>
          <w:b w:val="0"/>
          <w:i w:val="0"/>
        </w:rPr>
        <w:t>Hypersensitivity reaction, rash, diarrhea</w:t>
      </w:r>
    </w:p>
    <w:p>
      <w:pPr>
        <w:spacing w:after="120"/>
      </w:pPr>
      <w:r>
        <w:rPr>
          <w:b/>
          <w:i w:val="0"/>
        </w:rPr>
        <w:t>Do not learn these three classes' common effects separately.</w:t>
      </w:r>
      <w:r>
        <w:rPr>
          <w:b w:val="0"/>
          <w:i w:val="0"/>
        </w:rPr>
        <w:t xml:space="preserve"> Asked exactly that, he said: </w:t>
      </w:r>
      <w:r>
        <w:rPr>
          <w:b w:val="0"/>
          <w:i/>
        </w:rPr>
        <w:t>“no, they're all the same”</w:t>
      </w:r>
      <w:r>
        <w:rPr>
          <w:b w:val="0"/>
          <w:i w:val="0"/>
        </w:rPr>
        <w:t>. Learn the shared set once and spend the effort where a class breaks the pattern.</w:t>
      </w:r>
    </w:p>
    <w:p>
      <w:pPr>
        <w:spacing w:after="120"/>
      </w:pPr>
      <w:r>
        <w:rPr>
          <w:b w:val="0"/>
          <w:i w:val="0"/>
        </w:rPr>
        <w:t>Antibiotics, Antivirals, and Antifungals · slide 22</w:t>
      </w:r>
    </w:p>
    <w:p>
      <w:pPr>
        <w:spacing w:after="120"/>
      </w:pPr>
      <w:r>
        <w:rPr>
          <w:b/>
          <w:i w:val="0"/>
        </w:rPr>
        <w:t>Penicillins</w:t>
      </w:r>
    </w:p>
    <w:p>
      <w:pPr>
        <w:spacing w:after="120"/>
      </w:pPr>
      <w:r>
        <w:rPr>
          <w:b w:val="0"/>
          <w:i w:val="0"/>
        </w:rPr>
        <w:t>Renal and hepatic monitoring, platelets</w:t>
      </w:r>
    </w:p>
    <w:p>
      <w:pPr>
        <w:spacing w:after="120"/>
      </w:pPr>
      <w:r>
        <w:rPr>
          <w:b w:val="0"/>
          <w:i w:val="0"/>
        </w:rPr>
        <w:t>Dosing frequency falls with renal impairment.</w:t>
      </w:r>
    </w:p>
    <w:p>
      <w:pPr>
        <w:spacing w:after="120"/>
      </w:pPr>
      <w:r>
        <w:rPr>
          <w:b w:val="0"/>
          <w:i w:val="0"/>
        </w:rPr>
        <w:t>Antibiotics, Antivirals, and Antifungals · slide 22</w:t>
      </w:r>
    </w:p>
    <w:p>
      <w:pPr>
        <w:spacing w:after="120"/>
      </w:pPr>
      <w:r>
        <w:rPr>
          <w:b/>
          <w:i w:val="0"/>
        </w:rPr>
        <w:t>Vancomycin</w:t>
      </w:r>
    </w:p>
    <w:p>
      <w:pPr>
        <w:spacing w:after="120"/>
      </w:pPr>
      <w:r>
        <w:rPr>
          <w:b w:val="0"/>
          <w:i w:val="0"/>
        </w:rPr>
        <w:t>Renal clearance monitoring</w:t>
      </w:r>
    </w:p>
    <w:p>
      <w:pPr>
        <w:spacing w:after="120"/>
      </w:pPr>
      <w:r>
        <w:rPr>
          <w:b w:val="0"/>
          <w:i w:val="0"/>
        </w:rPr>
        <w:t>Trough levels are checked to confirm efficacy.</w:t>
      </w:r>
    </w:p>
    <w:p>
      <w:pPr>
        <w:spacing w:after="120"/>
      </w:pPr>
      <w:r>
        <w:rPr>
          <w:b w:val="0"/>
          <w:i w:val="0"/>
        </w:rPr>
        <w:t>Antibiotics, Antivirals, and Antifungals · slide 51</w:t>
      </w:r>
    </w:p>
    <w:p>
      <w:pPr>
        <w:spacing w:after="120"/>
      </w:pPr>
      <w:r>
        <w:rPr>
          <w:b/>
          <w:i w:val="0"/>
        </w:rPr>
        <w:t>Aminoglycosides</w:t>
      </w:r>
    </w:p>
    <w:p>
      <w:pPr>
        <w:spacing w:after="120"/>
      </w:pPr>
      <w:r>
        <w:rPr>
          <w:b w:val="0"/>
          <w:i w:val="0"/>
        </w:rPr>
        <w:t>Ototoxicity and nephrotoxicity</w:t>
      </w:r>
    </w:p>
    <w:p>
      <w:pPr>
        <w:spacing w:after="120"/>
      </w:pPr>
      <w:r>
        <w:rPr>
          <w:b w:val="0"/>
          <w:i w:val="0"/>
        </w:rPr>
        <w:t xml:space="preserve">Common enough in this class to be the reason troughs are checked at all — the target is an </w:t>
      </w:r>
      <w:r>
        <w:rPr>
          <w:b/>
          <w:i w:val="0"/>
        </w:rPr>
        <w:t>undetectable</w:t>
      </w:r>
      <w:r>
        <w:rPr>
          <w:b w:val="0"/>
          <w:i w:val="0"/>
        </w:rPr>
        <w:t xml:space="preserve"> trough, because it is accumulation that harms.</w:t>
      </w:r>
    </w:p>
    <w:p>
      <w:pPr>
        <w:spacing w:after="120"/>
      </w:pPr>
      <w:r>
        <w:rPr>
          <w:b w:val="0"/>
          <w:i w:val="0"/>
        </w:rPr>
        <w:t>Antibiotics, Antivirals, and Antifungals · slide 68</w:t>
      </w:r>
    </w:p>
    <w:p>
      <w:pPr>
        <w:spacing w:after="120"/>
      </w:pPr>
      <w:r>
        <w:rPr>
          <w:b/>
          <w:i w:val="0"/>
        </w:rPr>
        <w:t>Topical retinoids</w:t>
      </w:r>
    </w:p>
    <w:p>
      <w:pPr>
        <w:spacing w:after="120"/>
      </w:pPr>
      <w:r>
        <w:rPr>
          <w:b w:val="0"/>
          <w:i w:val="0"/>
        </w:rPr>
        <w:t>Retinoid dermatitis — erythema, pruritus, scaling</w:t>
      </w:r>
    </w:p>
    <w:p>
      <w:pPr>
        <w:spacing w:after="120"/>
      </w:pPr>
      <w:r>
        <w:rPr>
          <w:b w:val="0"/>
          <w:i w:val="0"/>
        </w:rPr>
        <w:t>Expected with the class rather than a reason to stop.</w:t>
      </w:r>
    </w:p>
    <w:p>
      <w:pPr>
        <w:spacing w:after="120"/>
      </w:pPr>
      <w:r>
        <w:rPr>
          <w:b w:val="0"/>
          <w:i w:val="0"/>
        </w:rPr>
        <w:t>Dermatology Medications · slide 24</w:t>
      </w:r>
    </w:p>
    <w:p>
      <w:pPr>
        <w:pStyle w:val="Heading1"/>
        <w:spacing w:before="280" w:after="100"/>
      </w:pPr>
      <w:r>
        <w:rPr>
          <w:rFonts w:ascii="Georgia" w:hAnsi="Georgia"/>
          <w:color w:val="6B3524"/>
        </w:rPr>
        <w:t>Zebras 9</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Uncommon, but </w:t>
            </w:r>
            <w:r>
              <w:rPr>
                <w:b/>
                <w:i w:val="0"/>
              </w:rPr>
              <w:t>unique to one drug</w:t>
            </w:r>
            <w:r>
              <w:rPr>
                <w:b w:val="0"/>
                <w:i w:val="0"/>
              </w:rPr>
              <w:t xml:space="preserve">. </w:t>
            </w:r>
            <w:r>
              <w:rPr>
                <w:b w:val="0"/>
                <w:i/>
              </w:rPr>
              <w:t>“Whenever you hear hoofs beating, normally you should be thinking horses. Sometimes it’s a zebra.”</w:t>
            </w:r>
            <w:r>
              <w:rPr>
                <w:b w:val="0"/>
                <w:i w:val="0"/>
              </w:rPr>
              <w:t xml:space="preserve"> Each is worth about one question — and together with the killers they are where he told the class to look.</w:t>
            </w:r>
          </w:p>
        </w:tc>
      </w:tr>
    </w:tbl>
    <w:p>
      <w:pPr>
        <w:spacing w:after="80"/>
      </w:pPr>
    </w:p>
    <w:p>
      <w:pPr>
        <w:spacing w:after="120"/>
      </w:pPr>
      <w:r>
        <w:rPr>
          <w:b/>
          <w:i w:val="0"/>
        </w:rPr>
        <w:t>Disulfiram-like reaction with alcohol</w:t>
      </w:r>
      <w:r>
        <w:rPr>
          <w:b w:val="0"/>
          <w:i w:val="0"/>
        </w:rPr>
        <w:t>his example</w:t>
      </w:r>
    </w:p>
    <w:p>
      <w:pPr>
        <w:spacing w:after="120"/>
      </w:pPr>
      <w:r>
        <w:rPr>
          <w:b w:val="0"/>
          <w:i w:val="0"/>
        </w:rPr>
        <w:t>metronidazole</w:t>
      </w:r>
    </w:p>
    <w:p>
      <w:pPr>
        <w:spacing w:after="120"/>
      </w:pPr>
      <w:r>
        <w:rPr>
          <w:b/>
          <w:i w:val="0"/>
        </w:rPr>
        <w:t>His own example of a zebra.</w:t>
      </w:r>
      <w:r>
        <w:rPr>
          <w:b w:val="0"/>
          <w:i w:val="0"/>
        </w:rPr>
        <w:t xml:space="preserve"> Uncommon in practice — a patient taking it for an infection is often not drinking — but unique to this drug, and it costs nothing to warn them.</w:t>
      </w:r>
    </w:p>
    <w:p>
      <w:pPr>
        <w:spacing w:after="120"/>
      </w:pPr>
      <w:r>
        <w:rPr>
          <w:b w:val="0"/>
          <w:i w:val="0"/>
        </w:rPr>
        <w:t>Antibiotics, Antivirals, and Antifungals · slide 86</w:t>
      </w:r>
    </w:p>
    <w:p>
      <w:pPr>
        <w:spacing w:after="120"/>
      </w:pPr>
      <w:r>
        <w:rPr>
          <w:b/>
          <w:i w:val="0"/>
        </w:rPr>
        <w:t>Red Man syndrome</w:t>
      </w:r>
      <w:r>
        <w:rPr>
          <w:b w:val="0"/>
          <w:i w:val="0"/>
        </w:rPr>
        <w:t>his example</w:t>
      </w:r>
    </w:p>
    <w:p>
      <w:pPr>
        <w:spacing w:after="120"/>
      </w:pPr>
      <w:r>
        <w:rPr>
          <w:b w:val="0"/>
          <w:i w:val="0"/>
        </w:rPr>
        <w:t>vancomycin</w:t>
      </w:r>
    </w:p>
    <w:p>
      <w:pPr>
        <w:spacing w:after="120"/>
      </w:pPr>
      <w:r>
        <w:rPr>
          <w:b/>
          <w:i w:val="0"/>
        </w:rPr>
        <w:t>His own example.</w:t>
      </w:r>
      <w:r>
        <w:rPr>
          <w:b w:val="0"/>
          <w:i w:val="0"/>
        </w:rPr>
        <w:t xml:space="preserve"> An infusion-related reaction, not an allergy, which is why the answer is to </w:t>
      </w:r>
      <w:r>
        <w:rPr>
          <w:b/>
          <w:i w:val="0"/>
        </w:rPr>
        <w:t>slow the infusion</w:t>
      </w:r>
      <w:r>
        <w:rPr>
          <w:b w:val="0"/>
          <w:i w:val="0"/>
        </w:rPr>
        <w:t xml:space="preserve"> rather than to stop the drug. He specified two hours.</w:t>
      </w:r>
    </w:p>
    <w:p>
      <w:pPr>
        <w:spacing w:after="120"/>
      </w:pPr>
      <w:r>
        <w:rPr>
          <w:b w:val="0"/>
          <w:i w:val="0"/>
        </w:rPr>
        <w:t>Antibiotics, Antivirals, and Antifungals · slide 51</w:t>
      </w:r>
    </w:p>
    <w:p>
      <w:pPr>
        <w:spacing w:after="120"/>
      </w:pPr>
      <w:r>
        <w:rPr>
          <w:b/>
          <w:i w:val="0"/>
        </w:rPr>
        <w:t>Tooth discoloration and depression of skeletal growth</w:t>
      </w:r>
      <w:r>
        <w:rPr>
          <w:b w:val="0"/>
          <w:i w:val="0"/>
        </w:rPr>
        <w:t>his example</w:t>
      </w:r>
    </w:p>
    <w:p>
      <w:pPr>
        <w:spacing w:after="120"/>
      </w:pPr>
      <w:r>
        <w:rPr>
          <w:b w:val="0"/>
          <w:i w:val="0"/>
        </w:rPr>
        <w:t>tetracyclines</w:t>
      </w:r>
    </w:p>
    <w:p>
      <w:pPr>
        <w:spacing w:after="120"/>
      </w:pPr>
      <w:r>
        <w:rPr>
          <w:b/>
          <w:i w:val="0"/>
        </w:rPr>
        <w:t>He pointed at the tetracyclines by name</w:t>
      </w:r>
      <w:r>
        <w:rPr>
          <w:b w:val="0"/>
          <w:i w:val="0"/>
        </w:rPr>
        <w:t xml:space="preserve"> as where a class breaks the common pattern. Doxycycline discolors more than the others; avoid under </w:t>
      </w:r>
      <w:r>
        <w:rPr>
          <w:b/>
          <w:i w:val="0"/>
        </w:rPr>
        <w:t>8 years old</w:t>
      </w:r>
      <w:r>
        <w:rPr>
          <w:b w:val="0"/>
          <w:i w:val="0"/>
        </w:rPr>
        <w:t xml:space="preserve"> and in the </w:t>
      </w:r>
      <w:r>
        <w:rPr>
          <w:b/>
          <w:i w:val="0"/>
        </w:rPr>
        <w:t>second and third trimesters</w:t>
      </w:r>
      <w:r>
        <w:rPr>
          <w:b w:val="0"/>
          <w:i w:val="0"/>
        </w:rPr>
        <w:t>.</w:t>
      </w:r>
    </w:p>
    <w:p>
      <w:pPr>
        <w:spacing w:after="120"/>
      </w:pPr>
      <w:r>
        <w:rPr>
          <w:b w:val="0"/>
          <w:i w:val="0"/>
        </w:rPr>
        <w:t>Antibiotics, Antivirals, and Antifungals · slide 63</w:t>
      </w:r>
    </w:p>
    <w:p>
      <w:pPr>
        <w:spacing w:after="120"/>
      </w:pPr>
      <w:r>
        <w:rPr>
          <w:b/>
          <w:i w:val="0"/>
        </w:rPr>
        <w:t>Chelation with calcium and iron</w:t>
      </w:r>
      <w:r>
        <w:rPr>
          <w:b w:val="0"/>
          <w:i w:val="0"/>
        </w:rPr>
        <w:t>his example</w:t>
      </w:r>
    </w:p>
    <w:p>
      <w:pPr>
        <w:spacing w:after="120"/>
      </w:pPr>
      <w:r>
        <w:rPr>
          <w:b w:val="0"/>
          <w:i w:val="0"/>
        </w:rPr>
        <w:t>tetracyclines; fluoroquinolones</w:t>
      </w:r>
    </w:p>
    <w:p>
      <w:pPr>
        <w:spacing w:after="120"/>
      </w:pPr>
      <w:r>
        <w:rPr>
          <w:b w:val="0"/>
          <w:i w:val="0"/>
        </w:rPr>
        <w:t xml:space="preserve">The interaction he illustrated with a patient on a </w:t>
      </w:r>
      <w:r>
        <w:rPr>
          <w:b/>
          <w:i w:val="0"/>
        </w:rPr>
        <w:t>prenatal vitamin</w:t>
      </w:r>
      <w:r>
        <w:rPr>
          <w:b w:val="0"/>
          <w:i w:val="0"/>
        </w:rPr>
        <w:t xml:space="preserve"> whose calcium and iron bind up the doxycycline. Both classes complex with cations.</w:t>
      </w:r>
    </w:p>
    <w:p>
      <w:pPr>
        <w:spacing w:after="120"/>
      </w:pPr>
      <w:r>
        <w:rPr>
          <w:b w:val="0"/>
          <w:i w:val="0"/>
        </w:rPr>
        <w:t>Antibiotics, Antivirals, and Antifungals · slide 63</w:t>
      </w:r>
    </w:p>
    <w:p>
      <w:pPr>
        <w:spacing w:after="120"/>
      </w:pPr>
      <w:r>
        <w:rPr>
          <w:b/>
          <w:i w:val="0"/>
        </w:rPr>
        <w:t>Achilles tendonitis and tendon rupture</w:t>
      </w:r>
    </w:p>
    <w:p>
      <w:pPr>
        <w:spacing w:after="120"/>
      </w:pPr>
      <w:r>
        <w:rPr>
          <w:b w:val="0"/>
          <w:i w:val="0"/>
        </w:rPr>
        <w:t>fluoroquinolones</w:t>
      </w:r>
    </w:p>
    <w:p>
      <w:pPr>
        <w:spacing w:after="120"/>
      </w:pPr>
      <w:r>
        <w:rPr>
          <w:b w:val="0"/>
          <w:i w:val="0"/>
        </w:rPr>
        <w:t xml:space="preserve">Unique to this class, and paired on the slide with a caution in the </w:t>
      </w:r>
      <w:r>
        <w:rPr>
          <w:b/>
          <w:i w:val="0"/>
        </w:rPr>
        <w:t>under-18s</w:t>
      </w:r>
      <w:r>
        <w:rPr>
          <w:b w:val="0"/>
          <w:i w:val="0"/>
        </w:rPr>
        <w:t xml:space="preserve"> and with peripheral neuropathy.</w:t>
      </w:r>
    </w:p>
    <w:p>
      <w:pPr>
        <w:spacing w:after="120"/>
      </w:pPr>
      <w:r>
        <w:rPr>
          <w:b w:val="0"/>
          <w:i w:val="0"/>
        </w:rPr>
        <w:t>Antibiotics, Antivirals, and Antifungals · slide 79</w:t>
      </w:r>
    </w:p>
    <w:p>
      <w:pPr>
        <w:spacing w:after="120"/>
      </w:pPr>
      <w:r>
        <w:rPr>
          <w:b/>
          <w:i w:val="0"/>
        </w:rPr>
        <w:t>Photosensitivity</w:t>
      </w:r>
    </w:p>
    <w:p>
      <w:pPr>
        <w:spacing w:after="120"/>
      </w:pPr>
      <w:r>
        <w:rPr>
          <w:b w:val="0"/>
          <w:i w:val="0"/>
        </w:rPr>
        <w:t>tetracyclines; fluoroquinolones; topical retinoids</w:t>
      </w:r>
    </w:p>
    <w:p>
      <w:pPr>
        <w:spacing w:after="120"/>
      </w:pPr>
      <w:r>
        <w:rPr>
          <w:b w:val="0"/>
          <w:i w:val="0"/>
        </w:rPr>
        <w:t>Not dangerous, but it is the one that actually changes what you tell the patient — sunscreen and covering up, because they will be outdoors regardless.</w:t>
      </w:r>
    </w:p>
    <w:p>
      <w:pPr>
        <w:spacing w:after="120"/>
      </w:pPr>
      <w:r>
        <w:rPr>
          <w:b w:val="0"/>
          <w:i w:val="0"/>
        </w:rPr>
        <w:t>Antibiotics, Antivirals, and Antifungals · slide 63</w:t>
      </w:r>
    </w:p>
    <w:p>
      <w:pPr>
        <w:spacing w:after="120"/>
      </w:pPr>
      <w:r>
        <w:rPr>
          <w:b/>
          <w:i w:val="0"/>
        </w:rPr>
        <w:t>Teratogenicity</w:t>
      </w:r>
    </w:p>
    <w:p>
      <w:pPr>
        <w:spacing w:after="120"/>
      </w:pPr>
      <w:r>
        <w:rPr>
          <w:b w:val="0"/>
          <w:i w:val="0"/>
        </w:rPr>
        <w:t>azoles; isotretinoin; tetracyclines</w:t>
      </w:r>
    </w:p>
    <w:p>
      <w:pPr>
        <w:spacing w:after="120"/>
      </w:pPr>
      <w:r>
        <w:rPr>
          <w:b w:val="0"/>
          <w:i w:val="0"/>
        </w:rPr>
        <w:t>The azole slides carry it three times over. Isotretinoin is contraindicated in pregnancy and breastfeeding outright.</w:t>
      </w:r>
    </w:p>
    <w:p>
      <w:pPr>
        <w:spacing w:after="120"/>
      </w:pPr>
      <w:r>
        <w:rPr>
          <w:b w:val="0"/>
          <w:i w:val="0"/>
        </w:rPr>
        <w:t>Antibiotics, Antivirals, and Antifungals · slide 104</w:t>
      </w:r>
    </w:p>
    <w:p>
      <w:pPr>
        <w:spacing w:after="120"/>
      </w:pPr>
      <w:r>
        <w:rPr>
          <w:b/>
          <w:i w:val="0"/>
        </w:rPr>
        <w:t>Bone marrow suppression</w:t>
      </w:r>
    </w:p>
    <w:p>
      <w:pPr>
        <w:spacing w:after="120"/>
      </w:pPr>
      <w:r>
        <w:rPr>
          <w:b w:val="0"/>
          <w:i w:val="0"/>
        </w:rPr>
        <w:t>flucytosine; ganciclovir</w:t>
      </w:r>
    </w:p>
    <w:p>
      <w:pPr>
        <w:spacing w:after="120"/>
      </w:pPr>
      <w:r>
        <w:rPr>
          <w:b w:val="0"/>
          <w:i w:val="0"/>
        </w:rPr>
        <w:t>Confined to these agents rather than shared across the antifungals or antivirals.</w:t>
      </w:r>
    </w:p>
    <w:p>
      <w:pPr>
        <w:spacing w:after="120"/>
      </w:pPr>
      <w:r>
        <w:rPr>
          <w:b w:val="0"/>
          <w:i w:val="0"/>
        </w:rPr>
        <w:t>Antibiotics, Antivirals, and Antifungals · slide 101</w:t>
      </w:r>
    </w:p>
    <w:p>
      <w:pPr>
        <w:spacing w:after="120"/>
      </w:pPr>
      <w:r>
        <w:rPr>
          <w:b/>
          <w:i w:val="0"/>
        </w:rPr>
        <w:t>Raised serum lipids</w:t>
      </w:r>
    </w:p>
    <w:p>
      <w:pPr>
        <w:spacing w:after="120"/>
      </w:pPr>
      <w:r>
        <w:rPr>
          <w:b w:val="0"/>
          <w:i w:val="0"/>
        </w:rPr>
        <w:t>isotretinoin</w:t>
      </w:r>
    </w:p>
    <w:p>
      <w:pPr>
        <w:spacing w:after="120"/>
      </w:pPr>
      <w:r>
        <w:rPr>
          <w:b w:val="0"/>
          <w:i w:val="0"/>
        </w:rPr>
        <w:t>Sits alongside photophobia, arthralgia, headaches, alopecia and brittle nails on the same slide — the price of the most effective acne drug.</w:t>
      </w:r>
    </w:p>
    <w:p>
      <w:pPr>
        <w:spacing w:after="120"/>
      </w:pPr>
      <w:r>
        <w:rPr>
          <w:b w:val="0"/>
          <w:i w:val="0"/>
        </w:rPr>
        <w:t>Dermatology Medications · slide 27</w:t>
      </w:r>
    </w:p>
    <w:p>
      <w:pPr>
        <w:spacing w:after="120"/>
      </w:pPr>
      <w:r>
        <w:rPr>
          <w:b w:val="0"/>
          <w:i w:val="0"/>
        </w:rPr>
        <w:t xml:space="preserve"> The framework quotes are verified against the review recording before this page is written. The recording stays on the course owner's machine and is never copied into this repo.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