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Dr. Wood’s Exam Review Session</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Pharmacology I · Exam 1 · Class of 2028</w:t>
      </w:r>
    </w:p>
    <w:p>
      <w:pPr>
        <w:spacing w:after="120"/>
      </w:pPr>
      <w:r>
        <w:rPr>
          <w:b w:val="0"/>
          <w:i w:val="0"/>
        </w:rPr>
        <w:t>Held the evening before the paper, 3 September 2026. 11 standing scope rules and 12 answered questions, each with the timestamp it came from. This is the only place he says what is and is not being asked.</w:t>
      </w:r>
    </w:p>
    <w:p>
      <w:pPr>
        <w:spacing w:after="120"/>
      </w:pPr>
      <w:r>
        <w:rPr>
          <w:b w:val="0"/>
          <w:i w:val="0"/>
        </w:rPr>
        <w:t xml:space="preserve">Every quote is </w:t>
      </w:r>
      <w:r>
        <w:rPr>
          <w:b/>
          <w:i w:val="0"/>
        </w:rPr>
        <w:t>verbatim from the review recording</w:t>
      </w:r>
      <w:r>
        <w:rPr>
          <w:b w:val="0"/>
          <w:i w:val="0"/>
        </w:rPr>
        <w:t>, with its timestamp. Nothing here is inferred from the slides — the slides do not say what is being asked, and a review session does.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What this page is.</w:t>
            </w:r>
            <w:r>
              <w:rPr>
                <w:b w:val="0"/>
                <w:i w:val="0"/>
              </w:rPr>
              <w:t xml:space="preserve"> On the evening before the paper the class put questions to Dr. Wood and he answered them. This is what he said, organized into the standing scope rules first and then the individual answers. It is a companion to </w:t>
            </w:r>
            <w:r>
              <w:rPr>
                <w:b w:val="0"/>
                <w:i w:val="0"/>
              </w:rPr>
              <w:t>What Dr. Wood Told You to Star</w:t>
            </w:r>
            <w:r>
              <w:rPr>
                <w:b w:val="0"/>
                <w:i w:val="0"/>
              </w:rPr>
              <w:t>, which is drawn from the three content lectures instead.</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On the quotes.</w:t>
            </w:r>
            <w:r>
              <w:rPr>
                <w:b w:val="0"/>
                <w:i w:val="0"/>
              </w:rPr>
              <w:t xml:space="preserve"> Drug names are repaired where the automatic transcript mis-hears them — it renders “physostigmine” as </w:t>
            </w:r>
            <w:r>
              <w:rPr>
                <w:b w:val="0"/>
                <w:i/>
              </w:rPr>
              <w:t>Pfizer stigmine</w:t>
            </w:r>
            <w:r>
              <w:rPr>
                <w:b w:val="0"/>
                <w:i w:val="0"/>
              </w:rPr>
              <w:t xml:space="preserve">, “aminopenicillins” as </w:t>
            </w:r>
            <w:r>
              <w:rPr>
                <w:b w:val="0"/>
                <w:i/>
              </w:rPr>
              <w:t>immunopenicillins</w:t>
            </w:r>
            <w:r>
              <w:rPr>
                <w:b w:val="0"/>
                <w:i w:val="0"/>
              </w:rPr>
              <w:t xml:space="preserve"> and “PANCE” as </w:t>
            </w:r>
            <w:r>
              <w:rPr>
                <w:b w:val="0"/>
                <w:i/>
              </w:rPr>
              <w:t>pants</w:t>
            </w:r>
            <w:r>
              <w:rPr>
                <w:b w:val="0"/>
                <w:i w:val="0"/>
              </w:rPr>
              <w:t xml:space="preserve">. The wording, order and meaning are his. Every quote is checked against the transcript by </w:t>
            </w:r>
            <w:r>
              <w:rPr>
                <w:rFonts w:ascii="Consolas" w:hAnsi="Consolas"/>
                <w:b w:val="0"/>
                <w:i w:val="0"/>
                <w:sz w:val="18"/>
              </w:rPr>
              <w:t>tools/check_pharm_review.py</w:t>
            </w:r>
            <w:r>
              <w:rPr>
                <w:b w:val="0"/>
                <w:i w:val="0"/>
              </w:rPr>
              <w:t xml:space="preserve"> before this page is written, with those corrections applied to the transcript rather than to the quote, so the check cannot be fooled by the cleanup.</w:t>
            </w:r>
          </w:p>
        </w:tc>
      </w:tr>
    </w:tbl>
    <w:p>
      <w:pPr>
        <w:spacing w:after="80"/>
      </w:pPr>
    </w:p>
    <w:p>
      <w:pPr>
        <w:pStyle w:val="Heading1"/>
        <w:spacing w:before="280" w:after="100"/>
      </w:pPr>
      <w:r>
        <w:rPr>
          <w:rFonts w:ascii="Georgia" w:hAnsi="Georgia"/>
          <w:color w:val="6B3524"/>
        </w:rPr>
        <w:t>What he narrowed read this first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single most useful thing he said is a scope cut.</w:t>
            </w:r>
            <w:r>
              <w:rPr>
                <w:b w:val="0"/>
                <w:i w:val="0"/>
              </w:rPr>
              <w:t xml:space="preserve"> Asked to go over the treatment of every condition mentioned under the antibiotics, he said that is not where the course is yet. The pneumonia and syphilis examples were </w:t>
            </w:r>
            <w:r>
              <w:rPr>
                <w:b/>
                <w:i w:val="0"/>
              </w:rPr>
              <w:t>context</w:t>
            </w:r>
            <w:r>
              <w:rPr>
                <w:b w:val="0"/>
                <w:i w:val="0"/>
              </w:rPr>
              <w:t xml:space="preserve">. What survives off that axis is </w:t>
            </w:r>
            <w:r>
              <w:rPr>
                <w:b/>
                <w:i w:val="0"/>
              </w:rPr>
              <w:t>which bugs an agent covers</w:t>
            </w:r>
            <w:r>
              <w:rPr>
                <w:b w:val="0"/>
                <w:i w:val="0"/>
              </w:rPr>
              <w:t xml:space="preserve"> — and he named </w:t>
            </w:r>
            <w:r>
              <w:rPr>
                <w:b/>
                <w:i w:val="0"/>
              </w:rPr>
              <w:t>MRSA, Pseudomonas and Clostridioides difficile</w:t>
            </w:r>
            <w:r>
              <w:rPr>
                <w:b w:val="0"/>
                <w:i w:val="0"/>
              </w:rPr>
              <w:t xml:space="preserve"> as the notable ones — plus whether it covers </w:t>
            </w:r>
            <w:r>
              <w:rPr>
                <w:b/>
                <w:i w:val="0"/>
              </w:rPr>
              <w:t>anaerobes</w:t>
            </w:r>
            <w:r>
              <w:rPr>
                <w:b w:val="0"/>
                <w:i w:val="0"/>
              </w:rPr>
              <w:t xml:space="preserve"> or </w:t>
            </w:r>
            <w:r>
              <w:rPr>
                <w:b/>
                <w:i w:val="0"/>
              </w:rPr>
              <w:t>atypicals</w:t>
            </w:r>
            <w:r>
              <w:rPr>
                <w:b w:val="0"/>
                <w:i w:val="0"/>
              </w:rPr>
              <w:t>.</w:t>
            </w:r>
            <w:r>
              <w:br/>
            </w:r>
            <w:r>
              <w:br/>
            </w:r>
            <w:r>
              <w:rPr>
                <w:b/>
                <w:i w:val="0"/>
              </w:rPr>
              <w:t>Dermatology is the exception</w:t>
            </w:r>
            <w:r>
              <w:rPr>
                <w:b w:val="0"/>
                <w:i w:val="0"/>
              </w:rPr>
              <w:t xml:space="preserve">: there he does expect the antibiotic choice, and specifically </w:t>
            </w:r>
            <w:r>
              <w:rPr>
                <w:b/>
                <w:i w:val="0"/>
              </w:rPr>
              <w:t>topical against oral</w:t>
            </w:r>
            <w:r>
              <w:rPr>
                <w:b w:val="0"/>
                <w:i w:val="0"/>
              </w:rPr>
              <w: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This does not contradict Dr. McInnis.</w:t>
            </w:r>
            <w:r>
              <w:rPr>
                <w:b w:val="0"/>
                <w:i w:val="0"/>
              </w:rPr>
              <w:t xml:space="preserve"> On 28 August she said mechanism was over-weighted and that indications, patient education, side effects and contraindications should carry more. Dr. Wood is narrowing </w:t>
            </w:r>
            <w:r>
              <w:rPr>
                <w:b w:val="0"/>
                <w:i/>
              </w:rPr>
              <w:t>one</w:t>
            </w:r>
            <w:r>
              <w:rPr>
                <w:b w:val="0"/>
                <w:i w:val="0"/>
              </w:rPr>
              <w:t xml:space="preserve"> axis for </w:t>
            </w:r>
            <w:r>
              <w:rPr>
                <w:b w:val="0"/>
                <w:i/>
              </w:rPr>
              <w:t>this</w:t>
            </w:r>
            <w:r>
              <w:rPr>
                <w:b w:val="0"/>
                <w:i w:val="0"/>
              </w:rPr>
              <w:t xml:space="preserve"> paper — the infectious-disease indications that have not been taught yet. Side effects, patient education and contraindications are untouched by the cut, and his adverse-effect framework below is the clearest steer on this page.</w:t>
            </w:r>
          </w:p>
        </w:tc>
      </w:tr>
    </w:tbl>
    <w:p>
      <w:pPr>
        <w:spacing w:after="80"/>
      </w:pPr>
    </w:p>
    <w:p>
      <w:pPr>
        <w:pStyle w:val="Heading1"/>
        <w:spacing w:before="280" w:after="100"/>
      </w:pPr>
      <w:r>
        <w:rPr>
          <w:rFonts w:ascii="Georgia" w:hAnsi="Georgia"/>
          <w:color w:val="6B3524"/>
        </w:rPr>
        <w:t>Do not get hung up on indications — know the bugs instead</w:t>
      </w:r>
    </w:p>
    <w:p>
      <w:pPr>
        <w:spacing w:after="120"/>
        <w:ind w:left="432"/>
      </w:pPr>
      <w:r>
        <w:rPr>
          <w:b w:val="0"/>
          <w:i w:val="0"/>
        </w:rPr>
        <w:t>“I would not get so hung up on indications other than generally like what kind of bugs is it treating or if there's notable bugs that it treats”</w:t>
      </w:r>
      <w:r>
        <w:rPr>
          <w:b w:val="0"/>
          <w:i w:val="0"/>
        </w:rPr>
        <w:t xml:space="preserve">Dr. Wood · Exam review session, 3 September · </w:t>
      </w:r>
      <w:r>
        <w:rPr>
          <w:b w:val="0"/>
          <w:i w:val="0"/>
        </w:rPr>
        <w:t>0:53</w:t>
      </w:r>
    </w:p>
    <w:p>
      <w:pPr>
        <w:spacing w:after="120"/>
      </w:pPr>
      <w:r>
        <w:rPr>
          <w:b w:val="0"/>
          <w:i w:val="0"/>
        </w:rPr>
        <w:t xml:space="preserve">Asked to go over the treatment of the conditions named under each antibiotic, he said that is </w:t>
      </w:r>
      <w:r>
        <w:rPr>
          <w:b/>
          <w:i w:val="0"/>
        </w:rPr>
        <w:t>not where the course is yet</w:t>
      </w:r>
      <w:r>
        <w:rPr>
          <w:b w:val="0"/>
          <w:i w:val="0"/>
        </w:rPr>
        <w:t xml:space="preserve">. The pneumonia and syphilis examples in the lectures were </w:t>
      </w:r>
      <w:r>
        <w:rPr>
          <w:b/>
          <w:i w:val="0"/>
        </w:rPr>
        <w:t>context</w:t>
      </w:r>
      <w:r>
        <w:rPr>
          <w:b w:val="0"/>
          <w:i w:val="0"/>
        </w:rPr>
        <w:t>, not content — he is not asking for the treatment of choice for syphilis, and he is not expecting aminoglycosides for pneumonia until the pulmonology block later in the year.</w:t>
      </w:r>
    </w:p>
    <w:p>
      <w:pPr>
        <w:spacing w:after="120"/>
      </w:pPr>
      <w:r>
        <w:rPr>
          <w:b w:val="0"/>
          <w:i w:val="0"/>
        </w:rPr>
        <w:t xml:space="preserve">What he does want off that axis: </w:t>
      </w:r>
      <w:r>
        <w:rPr>
          <w:b/>
          <w:i w:val="0"/>
        </w:rPr>
        <w:t>the notable organisms</w:t>
      </w:r>
      <w:r>
        <w:rPr>
          <w:b w:val="0"/>
          <w:i w:val="0"/>
        </w:rPr>
        <w:t xml:space="preserve"> — he named </w:t>
      </w:r>
      <w:r>
        <w:rPr>
          <w:b/>
          <w:i w:val="0"/>
        </w:rPr>
        <w:t>MRSA, Pseudomonas and Clostridioides difficile</w:t>
      </w:r>
      <w:r>
        <w:rPr>
          <w:b w:val="0"/>
          <w:i w:val="0"/>
        </w:rPr>
        <w:t xml:space="preserve"> — and the </w:t>
      </w:r>
      <w:r>
        <w:rPr>
          <w:b/>
          <w:i w:val="0"/>
        </w:rPr>
        <w:t>broad strokes</w:t>
      </w:r>
      <w:r>
        <w:rPr>
          <w:b w:val="0"/>
          <w:i w:val="0"/>
        </w:rPr>
        <w:t>, meaning does the agent cover anaerobes, does it cover atypicals.</w:t>
      </w:r>
    </w:p>
    <w:p>
      <w:pPr>
        <w:pStyle w:val="Heading1"/>
        <w:spacing w:before="280" w:after="100"/>
      </w:pPr>
      <w:r>
        <w:rPr>
          <w:rFonts w:ascii="Georgia" w:hAnsi="Georgia"/>
          <w:color w:val="6B3524"/>
        </w:rPr>
        <w:t>Dermatology is the exception: there, indications ARE fair game</w:t>
      </w:r>
    </w:p>
    <w:p>
      <w:pPr>
        <w:spacing w:after="120"/>
        <w:ind w:left="432"/>
      </w:pPr>
      <w:r>
        <w:rPr>
          <w:b w:val="0"/>
          <w:i w:val="0"/>
        </w:rPr>
        <w:t>“if we were doing a derm question about acne, for example, there you would want to know what kind of antibiotics you'd want to use and when”</w:t>
      </w:r>
      <w:r>
        <w:rPr>
          <w:b w:val="0"/>
          <w:i w:val="0"/>
        </w:rPr>
        <w:t xml:space="preserve">Dr. Wood · Exam review session, 3 September · </w:t>
      </w:r>
      <w:r>
        <w:rPr>
          <w:b w:val="0"/>
          <w:i w:val="0"/>
        </w:rPr>
        <w:t>1:20</w:t>
      </w:r>
    </w:p>
    <w:p>
      <w:pPr>
        <w:spacing w:after="120"/>
      </w:pPr>
      <w:r>
        <w:rPr>
          <w:b w:val="0"/>
          <w:i w:val="0"/>
        </w:rPr>
        <w:t xml:space="preserve">He drew the line himself. The general antibiotic indications are out; the </w:t>
      </w:r>
      <w:r>
        <w:rPr>
          <w:b/>
          <w:i w:val="0"/>
        </w:rPr>
        <w:t>dermatology ones are in</w:t>
      </w:r>
      <w:r>
        <w:rPr>
          <w:b w:val="0"/>
          <w:i w:val="0"/>
        </w:rPr>
        <w:t xml:space="preserve">, because that material has been taught. The specific distinction he named is </w:t>
      </w:r>
      <w:r>
        <w:rPr>
          <w:b/>
          <w:i w:val="0"/>
        </w:rPr>
        <w:t>topical against oral</w:t>
      </w:r>
      <w:r>
        <w:rPr>
          <w:b w:val="0"/>
          <w:i w:val="0"/>
        </w:rPr>
        <w:t xml:space="preserve"> — knowing which you reach for, and when.</w:t>
      </w:r>
    </w:p>
    <w:p>
      <w:pPr>
        <w:pStyle w:val="Heading1"/>
        <w:spacing w:before="280" w:after="100"/>
      </w:pPr>
      <w:r>
        <w:rPr>
          <w:rFonts w:ascii="Georgia" w:hAnsi="Georgia"/>
          <w:color w:val="6B3524"/>
        </w:rPr>
        <w:t>Group gram-positive and gram-negative coverage BY CLASS, not by drug</w:t>
      </w:r>
    </w:p>
    <w:p>
      <w:pPr>
        <w:spacing w:after="120"/>
        <w:ind w:left="432"/>
      </w:pPr>
      <w:r>
        <w:rPr>
          <w:b w:val="0"/>
          <w:i w:val="0"/>
        </w:rPr>
        <w:t>“No, it'll be more, again, the broad strokes here”</w:t>
      </w:r>
      <w:r>
        <w:rPr>
          <w:b w:val="0"/>
          <w:i w:val="0"/>
        </w:rPr>
        <w:t xml:space="preserve">Dr. Wood · Exam review session, 3 September · </w:t>
      </w:r>
      <w:r>
        <w:rPr>
          <w:b w:val="0"/>
          <w:i w:val="0"/>
        </w:rPr>
        <w:t>3:40</w:t>
      </w:r>
    </w:p>
    <w:p>
      <w:pPr>
        <w:spacing w:after="120"/>
      </w:pPr>
      <w:r>
        <w:rPr>
          <w:b w:val="0"/>
          <w:i w:val="0"/>
        </w:rPr>
        <w:t xml:space="preserve">Asked how much gram-positive and gram-negative detail is needed, he said to </w:t>
      </w:r>
      <w:r>
        <w:rPr>
          <w:b/>
          <w:i w:val="0"/>
        </w:rPr>
        <w:t>group by class</w:t>
      </w:r>
      <w:r>
        <w:rPr>
          <w:b w:val="0"/>
          <w:i w:val="0"/>
        </w:rPr>
        <w:t>. The two comparisons he gave as the right level:</w:t>
      </w:r>
    </w:p>
    <w:p>
      <w:pPr>
        <w:pStyle w:val="ListBullet"/>
        <w:spacing w:after="40"/>
      </w:pPr>
      <w:r>
        <w:rPr>
          <w:b/>
          <w:i w:val="0"/>
          <w:sz w:val="20"/>
        </w:rPr>
        <w:t>Cephalosporin generations.</w:t>
      </w:r>
      <w:r>
        <w:rPr>
          <w:b w:val="0"/>
          <w:i w:val="0"/>
          <w:sz w:val="20"/>
        </w:rPr>
        <w:t xml:space="preserve"> Gram-positive coverage </w:t>
      </w:r>
      <w:r>
        <w:rPr>
          <w:b/>
          <w:i w:val="0"/>
          <w:sz w:val="20"/>
        </w:rPr>
        <w:t>diminishes</w:t>
      </w:r>
      <w:r>
        <w:rPr>
          <w:b w:val="0"/>
          <w:i w:val="0"/>
          <w:sz w:val="20"/>
        </w:rPr>
        <w:t xml:space="preserve"> as you go up the generations; gram-negative coverage </w:t>
      </w:r>
      <w:r>
        <w:rPr>
          <w:b/>
          <w:i w:val="0"/>
          <w:sz w:val="20"/>
        </w:rPr>
        <w:t>improves</w:t>
      </w:r>
      <w:r>
        <w:rPr>
          <w:b w:val="0"/>
          <w:i w:val="0"/>
          <w:sz w:val="20"/>
        </w:rPr>
        <w:t>.</w:t>
      </w:r>
    </w:p>
    <w:p>
      <w:pPr>
        <w:pStyle w:val="ListBullet"/>
        <w:spacing w:after="40"/>
      </w:pPr>
      <w:r>
        <w:rPr>
          <w:b/>
          <w:i w:val="0"/>
          <w:sz w:val="20"/>
        </w:rPr>
        <w:t>Beta-lactamase inhibitors.</w:t>
      </w:r>
      <w:r>
        <w:rPr>
          <w:b w:val="0"/>
          <w:i w:val="0"/>
          <w:sz w:val="20"/>
        </w:rPr>
        <w:t xml:space="preserve"> Adding one </w:t>
      </w:r>
      <w:r>
        <w:rPr>
          <w:b/>
          <w:i w:val="0"/>
          <w:sz w:val="20"/>
        </w:rPr>
        <w:t>opens up anaerobic coverage</w:t>
      </w:r>
      <w:r>
        <w:rPr>
          <w:b w:val="0"/>
          <w:i w:val="0"/>
          <w:sz w:val="20"/>
        </w:rPr>
        <w:t xml:space="preserve"> for the aminopenicillins, which they do not have alone.</w:t>
      </w:r>
    </w:p>
    <w:p>
      <w:pPr>
        <w:pStyle w:val="Heading1"/>
        <w:spacing w:before="280" w:after="100"/>
      </w:pPr>
      <w:r>
        <w:rPr>
          <w:rFonts w:ascii="Georgia" w:hAnsi="Georgia"/>
          <w:color w:val="6B3524"/>
        </w:rPr>
        <w:t>The shape of the coverage question he WILL ask</w:t>
      </w:r>
    </w:p>
    <w:p>
      <w:pPr>
        <w:spacing w:after="120"/>
        <w:ind w:left="432"/>
      </w:pPr>
      <w:r>
        <w:rPr>
          <w:b w:val="0"/>
          <w:i w:val="0"/>
        </w:rPr>
        <w:t>“a patient has an infection, a skin infection. Do you think it's a gram-positive bacteria? Which one of these would be most likely to treat it?”</w:t>
      </w:r>
      <w:r>
        <w:rPr>
          <w:b w:val="0"/>
          <w:i w:val="0"/>
        </w:rPr>
        <w:t xml:space="preserve">Dr. Wood · Exam review session, 3 September · </w:t>
      </w:r>
      <w:r>
        <w:rPr>
          <w:b w:val="0"/>
          <w:i w:val="0"/>
        </w:rPr>
        <w:t>4:20</w:t>
      </w:r>
    </w:p>
    <w:p>
      <w:pPr>
        <w:spacing w:after="120"/>
      </w:pPr>
      <w:r>
        <w:rPr>
          <w:b w:val="0"/>
          <w:i w:val="0"/>
        </w:rPr>
        <w:t xml:space="preserve">He described the item outright, including how the distractors are built: </w:t>
      </w:r>
      <w:r>
        <w:rPr>
          <w:b/>
          <w:i w:val="0"/>
        </w:rPr>
        <w:t>three agents with strictly gram-negative coverage and one good gram-positive agent</w:t>
      </w:r>
      <w:r>
        <w:rPr>
          <w:b w:val="0"/>
          <w:i w:val="0"/>
        </w:rPr>
        <w:t>, and you identify it. That is the level of discrimination being asked for — not which single drug treats one named organism.</w:t>
      </w:r>
    </w:p>
    <w:p>
      <w:pPr>
        <w:pStyle w:val="Heading1"/>
        <w:spacing w:before="280" w:after="100"/>
      </w:pPr>
      <w:r>
        <w:rPr>
          <w:rFonts w:ascii="Georgia" w:hAnsi="Georgia"/>
          <w:color w:val="6B3524"/>
        </w:rPr>
        <w:t>He does not write trick questions, and he explained how he knows</w:t>
      </w:r>
    </w:p>
    <w:p>
      <w:pPr>
        <w:spacing w:after="120"/>
        <w:ind w:left="432"/>
      </w:pPr>
      <w:r>
        <w:rPr>
          <w:b w:val="0"/>
          <w:i w:val="0"/>
        </w:rPr>
        <w:t>“I'm never trying to trick you. It's just read the questions, see what I'm looking for and either know it or you don't”</w:t>
      </w:r>
      <w:r>
        <w:rPr>
          <w:b w:val="0"/>
          <w:i w:val="0"/>
        </w:rPr>
        <w:t xml:space="preserve">Dr. Wood · Exam review session, 3 September · </w:t>
      </w:r>
      <w:r>
        <w:rPr>
          <w:b w:val="0"/>
          <w:i w:val="0"/>
        </w:rPr>
        <w:t>5:35</w:t>
      </w:r>
    </w:p>
    <w:p>
      <w:pPr>
        <w:spacing w:after="120"/>
      </w:pPr>
      <w:r>
        <w:rPr>
          <w:b w:val="0"/>
          <w:i w:val="0"/>
        </w:rPr>
        <w:t xml:space="preserve">He explained the statistic he checks after a paper — the </w:t>
      </w:r>
      <w:r>
        <w:rPr>
          <w:b/>
          <w:i w:val="0"/>
        </w:rPr>
        <w:t>point-biserial</w:t>
      </w:r>
      <w:r>
        <w:rPr>
          <w:b w:val="0"/>
          <w:i w:val="0"/>
        </w:rPr>
        <w:t xml:space="preserve">, which asks whether the people who did well overall got a given question right and the people who did poorly got it wrong. A high value means the item is measuring knowledge rather than puzzle-solving, and he said his run well. </w:t>
      </w:r>
      <w:r>
        <w:rPr>
          <w:b/>
          <w:i w:val="0"/>
        </w:rPr>
        <w:t>Read the stem for what it is asking; there is no second layer.</w:t>
      </w:r>
    </w:p>
    <w:p>
      <w:pPr>
        <w:pStyle w:val="Heading1"/>
        <w:spacing w:before="280" w:after="100"/>
      </w:pPr>
      <w:r>
        <w:rPr>
          <w:rFonts w:ascii="Georgia" w:hAnsi="Georgia"/>
          <w:color w:val="6B3524"/>
        </w:rPr>
        <w:t>General mechanism is enough — except where you need synergy</w:t>
      </w:r>
    </w:p>
    <w:p>
      <w:pPr>
        <w:spacing w:after="120"/>
        <w:ind w:left="432"/>
      </w:pPr>
      <w:r>
        <w:rPr>
          <w:b w:val="0"/>
          <w:i w:val="0"/>
        </w:rPr>
        <w:t>“As long as you know that it inhibits ergosterol synthesis and inhibits the ability for that cell wall or cell membrane to function and causes the cell to die, then that's good enough for my purposes”</w:t>
      </w:r>
      <w:r>
        <w:rPr>
          <w:b w:val="0"/>
          <w:i w:val="0"/>
        </w:rPr>
        <w:t xml:space="preserve">Dr. Wood · Exam review session, 3 September · </w:t>
      </w:r>
      <w:r>
        <w:rPr>
          <w:b w:val="0"/>
          <w:i w:val="0"/>
        </w:rPr>
        <w:t>9:42</w:t>
      </w:r>
    </w:p>
    <w:p>
      <w:pPr>
        <w:spacing w:after="120"/>
      </w:pPr>
      <w:r>
        <w:rPr>
          <w:b w:val="0"/>
          <w:i w:val="0"/>
        </w:rPr>
        <w:t xml:space="preserve">He does </w:t>
      </w:r>
      <w:r>
        <w:rPr>
          <w:b/>
          <w:i w:val="0"/>
        </w:rPr>
        <w:t>not</w:t>
      </w:r>
      <w:r>
        <w:rPr>
          <w:b w:val="0"/>
          <w:i w:val="0"/>
        </w:rPr>
        <w:t xml:space="preserve"> want the exact binding target of each antifungal class. What he would rather you could do is </w:t>
      </w:r>
      <w:r>
        <w:rPr>
          <w:b/>
          <w:i w:val="0"/>
        </w:rPr>
        <w:t>tell an antifungal from an antiviral from an antibiotic</w:t>
      </w:r>
      <w:r>
        <w:rPr>
          <w:b w:val="0"/>
          <w:i w:val="0"/>
        </w:rPr>
        <w:t>, so you know what you are treating.</w:t>
      </w:r>
    </w:p>
    <w:p>
      <w:pPr>
        <w:spacing w:after="120"/>
      </w:pPr>
      <w:r>
        <w:rPr>
          <w:b/>
          <w:i w:val="0"/>
        </w:rPr>
        <w:t>The one place mechanism detail does matter is synergy.</w:t>
      </w:r>
      <w:r>
        <w:rPr>
          <w:b w:val="0"/>
          <w:i w:val="0"/>
        </w:rPr>
        <w:t xml:space="preserve"> When two drugs are used for the same problem you need to know their mechanisms differ, because </w:t>
      </w:r>
      <w:r>
        <w:rPr>
          <w:b/>
          <w:i w:val="0"/>
        </w:rPr>
        <w:t>complementary mechanisms</w:t>
      </w:r>
      <w:r>
        <w:rPr>
          <w:b w:val="0"/>
          <w:i w:val="0"/>
        </w:rPr>
        <w:t xml:space="preserve"> are the point of combining them.</w:t>
      </w:r>
    </w:p>
    <w:p>
      <w:pPr>
        <w:pStyle w:val="Heading1"/>
        <w:spacing w:before="280" w:after="100"/>
      </w:pPr>
      <w:r>
        <w:rPr>
          <w:rFonts w:ascii="Georgia" w:hAnsi="Georgia"/>
          <w:color w:val="6B3524"/>
        </w:rPr>
        <w:t>Learn the generics — the board exam gives you nothing else</w:t>
      </w:r>
    </w:p>
    <w:p>
      <w:pPr>
        <w:spacing w:after="120"/>
        <w:ind w:left="432"/>
      </w:pPr>
      <w:r>
        <w:rPr>
          <w:b w:val="0"/>
          <w:i w:val="0"/>
        </w:rPr>
        <w:t>“on the PANCE, you will only get the generic”</w:t>
      </w:r>
      <w:r>
        <w:rPr>
          <w:b w:val="0"/>
          <w:i w:val="0"/>
        </w:rPr>
        <w:t xml:space="preserve">Dr. Wood · Exam review session, 3 September · </w:t>
      </w:r>
      <w:r>
        <w:rPr>
          <w:b w:val="0"/>
          <w:i w:val="0"/>
        </w:rPr>
        <w:t>10:57</w:t>
      </w:r>
    </w:p>
    <w:p>
      <w:pPr>
        <w:spacing w:after="120"/>
      </w:pPr>
      <w:r>
        <w:rPr>
          <w:b w:val="0"/>
          <w:i w:val="0"/>
        </w:rPr>
        <w:t xml:space="preserve">He gives both names wherever he can, deliberately, because in practice people say </w:t>
      </w:r>
      <w:r>
        <w:rPr>
          <w:b w:val="0"/>
          <w:i/>
        </w:rPr>
        <w:t>Lasix</w:t>
      </w:r>
      <w:r>
        <w:rPr>
          <w:b w:val="0"/>
          <w:i w:val="0"/>
        </w:rPr>
        <w:t xml:space="preserve"> rather than furosemide and </w:t>
      </w:r>
      <w:r>
        <w:rPr>
          <w:b w:val="0"/>
          <w:i/>
        </w:rPr>
        <w:t>Rocephin</w:t>
      </w:r>
      <w:r>
        <w:rPr>
          <w:b w:val="0"/>
          <w:i w:val="0"/>
        </w:rPr>
        <w:t xml:space="preserve"> rather than ceftriaxone, and he wants the association built early. But the board exam is generic-only, </w:t>
      </w:r>
      <w:r>
        <w:rPr>
          <w:b/>
          <w:i w:val="0"/>
        </w:rPr>
        <w:t>so the generic is the one you must have</w:t>
      </w:r>
      <w:r>
        <w:rPr>
          <w:b w:val="0"/>
          <w:i w:val="0"/>
        </w:rPr>
        <w:t>.</w:t>
      </w:r>
    </w:p>
    <w:p>
      <w:pPr>
        <w:pStyle w:val="Heading1"/>
        <w:spacing w:before="280" w:after="100"/>
      </w:pPr>
      <w:r>
        <w:rPr>
          <w:rFonts w:ascii="Georgia" w:hAnsi="Georgia"/>
          <w:color w:val="6B3524"/>
        </w:rPr>
        <w:t>Learn by class — but the paper asks you individual drug NAMES</w:t>
      </w:r>
    </w:p>
    <w:p>
      <w:pPr>
        <w:spacing w:after="120"/>
        <w:ind w:left="432"/>
      </w:pPr>
      <w:r>
        <w:rPr>
          <w:b w:val="0"/>
          <w:i w:val="0"/>
        </w:rPr>
        <w:t>“most my questions will ultimately come down to four individual drugs”</w:t>
      </w:r>
      <w:r>
        <w:rPr>
          <w:b w:val="0"/>
          <w:i w:val="0"/>
        </w:rPr>
        <w:t xml:space="preserve">Dr. Wood · Exam review session, 3 September · </w:t>
      </w:r>
      <w:r>
        <w:rPr>
          <w:b w:val="0"/>
          <w:i w:val="0"/>
        </w:rPr>
        <w:t>31:30</w:t>
      </w:r>
    </w:p>
    <w:p>
      <w:pPr>
        <w:spacing w:after="120"/>
      </w:pPr>
      <w:r>
        <w:rPr>
          <w:b/>
          <w:i w:val="0"/>
        </w:rPr>
        <w:t>Both halves of this matter, and they pull in opposite directions.</w:t>
      </w:r>
    </w:p>
    <w:p>
      <w:pPr>
        <w:spacing w:after="120"/>
      </w:pPr>
      <w:r>
        <w:rPr>
          <w:b w:val="0"/>
          <w:i w:val="0"/>
        </w:rPr>
        <w:t xml:space="preserve">Learn the material </w:t>
      </w:r>
      <w:r>
        <w:rPr>
          <w:b/>
          <w:i w:val="0"/>
        </w:rPr>
        <w:t>by category</w:t>
      </w:r>
      <w:r>
        <w:rPr>
          <w:b w:val="0"/>
          <w:i w:val="0"/>
        </w:rPr>
        <w:t xml:space="preserve">. His example: every cell-wall-active drug is bactericidal — penicillins, cephalosporins, carbapenems, vancomycin, the polymyxins — so there is no point memorizing that fact drug by drug. Do the same for mechanism of action and the common contraindications. </w:t>
      </w:r>
      <w:r>
        <w:rPr>
          <w:b w:val="0"/>
          <w:i/>
        </w:rPr>
        <w:t>“Do big bins instead of individual agents.”</w:t>
      </w:r>
    </w:p>
    <w:p>
      <w:pPr>
        <w:spacing w:after="120"/>
      </w:pPr>
      <w:r>
        <w:rPr>
          <w:b/>
          <w:i w:val="0"/>
        </w:rPr>
        <w:t>But the answer choices are individual drug names.</w:t>
      </w:r>
      <w:r>
        <w:rPr>
          <w:b w:val="0"/>
          <w:i w:val="0"/>
        </w:rPr>
        <w:t xml:space="preserve"> He said most of his questions come down to four named drugs. So the skill being tested is </w:t>
      </w:r>
      <w:r>
        <w:rPr>
          <w:b/>
          <w:i w:val="0"/>
        </w:rPr>
        <w:t>seeing a drug name and placing it back in its bin</w:t>
      </w:r>
      <w:r>
        <w:rPr>
          <w:b w:val="0"/>
          <w:i w:val="0"/>
        </w:rPr>
        <w:t xml:space="preserve"> — you read </w:t>
      </w:r>
      <w:r>
        <w:rPr>
          <w:b w:val="0"/>
          <w:i/>
        </w:rPr>
        <w:t>ceftriaxone</w:t>
      </w:r>
      <w:r>
        <w:rPr>
          <w:b w:val="0"/>
          <w:i w:val="0"/>
        </w:rPr>
        <w:t xml:space="preserve">, you think </w:t>
      </w:r>
      <w:r>
        <w:rPr>
          <w:b w:val="0"/>
          <w:i/>
        </w:rPr>
        <w:t>third-generation cephalosporin</w:t>
      </w:r>
      <w:r>
        <w:rPr>
          <w:b w:val="0"/>
          <w:i w:val="0"/>
        </w:rPr>
        <w:t>, and everything you know about that class becomes available.</w:t>
      </w:r>
    </w:p>
    <w:p>
      <w:pPr>
        <w:spacing w:after="120"/>
      </w:pPr>
      <w:r>
        <w:rPr>
          <w:b w:val="0"/>
          <w:i w:val="0"/>
        </w:rPr>
        <w:t xml:space="preserve">That is exactly the drill the </w:t>
      </w:r>
      <w:r>
        <w:rPr>
          <w:b w:val="0"/>
          <w:i w:val="0"/>
        </w:rPr>
        <w:t>Drug Classes Drill</w:t>
      </w:r>
      <w:r>
        <w:rPr>
          <w:b w:val="0"/>
          <w:i w:val="0"/>
        </w:rPr>
        <w:t xml:space="preserve"> and the other drills on this site are built to rehearse.</w:t>
      </w:r>
    </w:p>
    <w:p>
      <w:pPr>
        <w:pStyle w:val="Heading1"/>
        <w:spacing w:before="280" w:after="100"/>
      </w:pPr>
      <w:r>
        <w:rPr>
          <w:rFonts w:ascii="Georgia" w:hAnsi="Georgia"/>
          <w:color w:val="6B3524"/>
        </w:rPr>
        <w:t>Do not memorize numerical values — he gives them to you</w:t>
      </w:r>
    </w:p>
    <w:p>
      <w:pPr>
        <w:spacing w:after="120"/>
        <w:ind w:left="432"/>
      </w:pPr>
      <w:r>
        <w:rPr>
          <w:b w:val="0"/>
          <w:i w:val="0"/>
        </w:rPr>
        <w:t>“don't know specific values. If I'm using any values, I will tell you what those are in the question itself”</w:t>
      </w:r>
      <w:r>
        <w:rPr>
          <w:b w:val="0"/>
          <w:i w:val="0"/>
        </w:rPr>
        <w:t xml:space="preserve">Dr. Wood · Exam review session, 3 September · </w:t>
      </w:r>
      <w:r>
        <w:rPr>
          <w:b w:val="0"/>
          <w:i w:val="0"/>
        </w:rPr>
        <w:t>29:40</w:t>
      </w:r>
    </w:p>
    <w:p>
      <w:pPr>
        <w:spacing w:after="120"/>
      </w:pPr>
      <w:r>
        <w:rPr>
          <w:b w:val="0"/>
          <w:i w:val="0"/>
        </w:rPr>
        <w:t xml:space="preserve">He is asking </w:t>
      </w:r>
      <w:r>
        <w:rPr>
          <w:b/>
          <w:i w:val="0"/>
        </w:rPr>
        <w:t>why you look at a value</w:t>
      </w:r>
      <w:r>
        <w:rPr>
          <w:b w:val="0"/>
          <w:i w:val="0"/>
        </w:rPr>
        <w:t>, never what the number is. His worked contrast, which is worth knowing in full:</w:t>
      </w:r>
    </w:p>
    <w:p>
      <w:pPr>
        <w:pStyle w:val="ListBullet"/>
        <w:spacing w:after="40"/>
      </w:pPr>
      <w:r>
        <w:rPr>
          <w:b/>
          <w:i w:val="0"/>
          <w:sz w:val="20"/>
        </w:rPr>
        <w:t>Vancomycin</w:t>
      </w:r>
      <w:r>
        <w:rPr>
          <w:b w:val="0"/>
          <w:i w:val="0"/>
          <w:sz w:val="20"/>
        </w:rPr>
        <w:t xml:space="preserve"> is a </w:t>
      </w:r>
      <w:r>
        <w:rPr>
          <w:b/>
          <w:i w:val="0"/>
          <w:sz w:val="20"/>
        </w:rPr>
        <w:t>time-dependent</w:t>
      </w:r>
      <w:r>
        <w:rPr>
          <w:b w:val="0"/>
          <w:i w:val="0"/>
          <w:sz w:val="20"/>
        </w:rPr>
        <w:t xml:space="preserve"> killer. You want the trough </w:t>
      </w:r>
      <w:r>
        <w:rPr>
          <w:b/>
          <w:i w:val="0"/>
          <w:sz w:val="20"/>
        </w:rPr>
        <w:t>above the minimum inhibitory concentration for as long as possible</w:t>
      </w:r>
      <w:r>
        <w:rPr>
          <w:b w:val="0"/>
          <w:i w:val="0"/>
          <w:sz w:val="20"/>
        </w:rPr>
        <w:t>, so the trough is checked to confirm it is high enough — a level coming back at zero is cause for concern, because the infection is not being treated.</w:t>
      </w:r>
    </w:p>
    <w:p>
      <w:pPr>
        <w:pStyle w:val="ListBullet"/>
        <w:spacing w:after="40"/>
      </w:pPr>
      <w:r>
        <w:rPr>
          <w:b/>
          <w:i w:val="0"/>
          <w:sz w:val="20"/>
        </w:rPr>
        <w:t>Gentamicin</w:t>
      </w:r>
      <w:r>
        <w:rPr>
          <w:b w:val="0"/>
          <w:i w:val="0"/>
          <w:sz w:val="20"/>
        </w:rPr>
        <w:t xml:space="preserve"> is a </w:t>
      </w:r>
      <w:r>
        <w:rPr>
          <w:b/>
          <w:i w:val="0"/>
          <w:sz w:val="20"/>
        </w:rPr>
        <w:t>concentration-dependent</w:t>
      </w:r>
      <w:r>
        <w:rPr>
          <w:b w:val="0"/>
          <w:i w:val="0"/>
          <w:sz w:val="20"/>
        </w:rPr>
        <w:t xml:space="preserve"> killer with a </w:t>
      </w:r>
      <w:r>
        <w:rPr>
          <w:b/>
          <w:i w:val="0"/>
          <w:sz w:val="20"/>
        </w:rPr>
        <w:t>post-antibiotic effect</w:t>
      </w:r>
      <w:r>
        <w:rPr>
          <w:b w:val="0"/>
          <w:i w:val="0"/>
          <w:sz w:val="20"/>
        </w:rPr>
        <w:t xml:space="preserve">, so the level does </w:t>
      </w:r>
      <w:r>
        <w:rPr>
          <w:b w:val="0"/>
          <w:i/>
          <w:sz w:val="20"/>
        </w:rPr>
        <w:t>not</w:t>
      </w:r>
      <w:r>
        <w:rPr>
          <w:b w:val="0"/>
          <w:i w:val="0"/>
          <w:sz w:val="20"/>
        </w:rPr>
        <w:t xml:space="preserve"> need to stay above that concentration. The trough is checked to confirm it is </w:t>
      </w:r>
      <w:r>
        <w:rPr>
          <w:b/>
          <w:i w:val="0"/>
          <w:sz w:val="20"/>
        </w:rPr>
        <w:t>undetectable</w:t>
      </w:r>
      <w:r>
        <w:rPr>
          <w:b w:val="0"/>
          <w:i w:val="0"/>
          <w:sz w:val="20"/>
        </w:rPr>
        <w:t xml:space="preserve"> — because what accumulates causes </w:t>
      </w:r>
      <w:r>
        <w:rPr>
          <w:b/>
          <w:i w:val="0"/>
          <w:sz w:val="20"/>
        </w:rPr>
        <w:t>ototoxicity and nephrotoxicity</w:t>
      </w:r>
      <w:r>
        <w:rPr>
          <w:b w:val="0"/>
          <w:i w:val="0"/>
          <w:sz w:val="20"/>
        </w:rPr>
        <w:t>, and once the kidneys are harmed you accumulate still more.</w:t>
      </w:r>
    </w:p>
    <w:p>
      <w:pPr>
        <w:spacing w:after="120"/>
      </w:pPr>
      <w:r>
        <w:rPr>
          <w:b/>
          <w:i w:val="0"/>
        </w:rPr>
        <w:t>Same test, opposite target, for opposite reasons.</w:t>
      </w:r>
      <w:r>
        <w:rPr>
          <w:b w:val="0"/>
          <w:i w:val="0"/>
        </w:rPr>
        <w:t xml:space="preserve"> That is the kind of question he is describing.</w:t>
      </w:r>
    </w:p>
    <w:p>
      <w:pPr>
        <w:pStyle w:val="Heading1"/>
        <w:spacing w:before="280" w:after="100"/>
      </w:pPr>
      <w:r>
        <w:rPr>
          <w:rFonts w:ascii="Georgia" w:hAnsi="Georgia"/>
          <w:color w:val="6B3524"/>
        </w:rPr>
        <w:t>“Pharmacology is not a what class, it’s a why class”</w:t>
      </w:r>
    </w:p>
    <w:p>
      <w:pPr>
        <w:spacing w:after="120"/>
        <w:ind w:left="432"/>
      </w:pPr>
      <w:r>
        <w:rPr>
          <w:b w:val="0"/>
          <w:i w:val="0"/>
        </w:rPr>
        <w:t>“pharmacology is not a what class, it's a why class”</w:t>
      </w:r>
      <w:r>
        <w:rPr>
          <w:b w:val="0"/>
          <w:i w:val="0"/>
        </w:rPr>
        <w:t xml:space="preserve">Dr. Wood · Exam review session, 3 September · </w:t>
      </w:r>
      <w:r>
        <w:rPr>
          <w:b w:val="0"/>
          <w:i w:val="0"/>
        </w:rPr>
        <w:t>28:20</w:t>
      </w:r>
    </w:p>
    <w:p>
      <w:pPr>
        <w:spacing w:after="120"/>
      </w:pPr>
      <w:r>
        <w:rPr>
          <w:b w:val="0"/>
          <w:i w:val="0"/>
        </w:rPr>
        <w:t>He drew the contrast with anatomy, which he called closer to brute-force memorization, and with physiology, which is a why class — how the body normally works, how it goes wrong, how you then treat it. Pharmacology sits with physiology.</w:t>
      </w:r>
    </w:p>
    <w:p>
      <w:pPr>
        <w:spacing w:after="120"/>
      </w:pPr>
      <w:r>
        <w:rPr>
          <w:b w:val="0"/>
          <w:i/>
        </w:rPr>
        <w:t>“I can read a drug reference if I wanted to know all the facts. I want you to know: why am I selecting this drug? What are the things I need to look for? How do I communicate this to my patient?”</w:t>
      </w:r>
    </w:p>
    <w:p>
      <w:pPr>
        <w:pStyle w:val="Heading1"/>
        <w:spacing w:before="280" w:after="100"/>
      </w:pPr>
      <w:r>
        <w:rPr>
          <w:rFonts w:ascii="Georgia" w:hAnsi="Georgia"/>
          <w:color w:val="6B3524"/>
        </w:rPr>
        <w:t>How to read his questions — and the habit he says wrecks scores</w:t>
      </w:r>
    </w:p>
    <w:p>
      <w:pPr>
        <w:spacing w:after="120"/>
        <w:ind w:left="432"/>
      </w:pPr>
      <w:r>
        <w:rPr>
          <w:b w:val="0"/>
          <w:i w:val="0"/>
        </w:rPr>
        <w:t>“if you ever find yourself asking did he mean this or this you're already in the weeds”</w:t>
      </w:r>
      <w:r>
        <w:rPr>
          <w:b w:val="0"/>
          <w:i w:val="0"/>
        </w:rPr>
        <w:t xml:space="preserve">Dr. Wood · Exam review session, 3 September · </w:t>
      </w:r>
      <w:r>
        <w:rPr>
          <w:b w:val="0"/>
          <w:i w:val="0"/>
        </w:rPr>
        <w:t>32:40</w:t>
      </w:r>
    </w:p>
    <w:p>
      <w:pPr>
        <w:spacing w:after="120"/>
      </w:pPr>
      <w:r>
        <w:rPr>
          <w:b/>
          <w:i w:val="0"/>
        </w:rPr>
        <w:t>Reading the stem.</w:t>
      </w:r>
      <w:r>
        <w:rPr>
          <w:b w:val="0"/>
          <w:i w:val="0"/>
        </w:rPr>
        <w:t xml:space="preserve"> His shortcut is to </w:t>
      </w:r>
      <w:r>
        <w:rPr>
          <w:b/>
          <w:i w:val="0"/>
        </w:rPr>
        <w:t>read the last sentence first</w:t>
      </w:r>
      <w:r>
        <w:rPr>
          <w:b w:val="0"/>
          <w:i w:val="0"/>
        </w:rPr>
        <w:t xml:space="preserve"> to see what is being asked, then go back through the stem for the context you need. He does </w:t>
      </w:r>
      <w:r>
        <w:rPr>
          <w:b/>
          <w:i w:val="0"/>
        </w:rPr>
        <w:t>not</w:t>
      </w:r>
      <w:r>
        <w:rPr>
          <w:b w:val="0"/>
          <w:i w:val="0"/>
        </w:rPr>
        <w:t xml:space="preserve"> pad questions — there is no patient's favorite color in there, so every detail present is there for a reason. </w:t>
      </w:r>
      <w:r>
        <w:rPr>
          <w:b w:val="0"/>
          <w:i/>
        </w:rPr>
        <w:t>“Keep it simple, students.”</w:t>
      </w:r>
    </w:p>
    <w:p>
      <w:pPr>
        <w:spacing w:after="120"/>
      </w:pPr>
      <w:r>
        <w:rPr>
          <w:b/>
          <w:i w:val="0"/>
        </w:rPr>
        <w:t>And the one he repeated hardest, twice, including as his closing line: do not change your answers.</w:t>
      </w:r>
      <w:r>
        <w:rPr>
          <w:b w:val="0"/>
          <w:i w:val="0"/>
        </w:rPr>
        <w:t xml:space="preserve"> He called it one of the worst habits, the one he hears constantly from students who struggle. Trust the gut instinct </w:t>
      </w:r>
      <w:r>
        <w:rPr>
          <w:b/>
          <w:i w:val="0"/>
        </w:rPr>
        <w:t>unless you have a very obvious reason</w:t>
      </w:r>
      <w:r>
        <w:rPr>
          <w:b w:val="0"/>
          <w:i w:val="0"/>
        </w:rPr>
        <w:t xml:space="preserve"> to change it — you have had a week with this material and it is already in there.</w:t>
      </w:r>
    </w:p>
    <w:p>
      <w:pPr>
        <w:pStyle w:val="Heading1"/>
        <w:spacing w:before="280" w:after="100"/>
      </w:pPr>
      <w:r>
        <w:rPr>
          <w:rFonts w:ascii="Georgia" w:hAnsi="Georgia"/>
          <w:color w:val="6B3524"/>
        </w:rPr>
        <w:t>Zebras — and the shortcut that saves you most of the work</w:t>
      </w:r>
    </w:p>
    <w:p>
      <w:pPr>
        <w:spacing w:after="120"/>
      </w:pPr>
      <w:r>
        <w:rPr>
          <w:b/>
          <w:i w:val="0"/>
        </w:rPr>
        <w:t>Asked:</w:t>
      </w:r>
      <w:r>
        <w:rPr>
          <w:b w:val="0"/>
          <w:i w:val="0"/>
        </w:rPr>
        <w:t xml:space="preserve"> “Are there any adverse effects we should focus on specifically?”</w:t>
      </w:r>
    </w:p>
    <w:p>
      <w:pPr>
        <w:spacing w:after="120"/>
        <w:ind w:left="432"/>
      </w:pPr>
      <w:r>
        <w:rPr>
          <w:b w:val="0"/>
          <w:i w:val="0"/>
        </w:rPr>
        <w:t>“whenever you hear hoofs beating, normally you should be thinking horses. Sometimes it's a zebra”</w:t>
      </w:r>
      <w:r>
        <w:rPr>
          <w:b w:val="0"/>
          <w:i w:val="0"/>
        </w:rPr>
        <w:t xml:space="preserve">Dr. Wood · Exam review session, 3 September · </w:t>
      </w:r>
      <w:r>
        <w:rPr>
          <w:b w:val="0"/>
          <w:i w:val="0"/>
        </w:rPr>
        <w:t>19:40</w:t>
      </w:r>
    </w:p>
    <w:p>
      <w:pPr>
        <w:spacing w:after="120"/>
      </w:pPr>
      <w:r>
        <w:rPr>
          <w:b/>
          <w:i w:val="0"/>
        </w:rPr>
        <w:t>Zebras</w:t>
      </w:r>
      <w:r>
        <w:rPr>
          <w:b w:val="0"/>
          <w:i w:val="0"/>
        </w:rPr>
        <w:t xml:space="preserve"> are the uncommon effects that are </w:t>
      </w:r>
      <w:r>
        <w:rPr>
          <w:b/>
          <w:i w:val="0"/>
        </w:rPr>
        <w:t>unique to one particular drug</w:t>
      </w:r>
      <w:r>
        <w:rPr>
          <w:b w:val="0"/>
          <w:i w:val="0"/>
        </w:rPr>
        <w:t xml:space="preserve">. His example is the </w:t>
      </w:r>
      <w:r>
        <w:rPr>
          <w:b/>
          <w:i w:val="0"/>
        </w:rPr>
        <w:t>alcohol interaction with metronidazole</w:t>
      </w:r>
      <w:r>
        <w:rPr>
          <w:b w:val="0"/>
          <w:i w:val="0"/>
        </w:rPr>
        <w:t xml:space="preserve"> — most patients on it for an infection will not be drinking, but it costs nothing to warn them.</w:t>
      </w:r>
    </w:p>
    <w:p>
      <w:pPr>
        <w:spacing w:after="120"/>
      </w:pPr>
      <w:r>
        <w:rPr>
          <w:b/>
          <w:i w:val="0"/>
        </w:rPr>
        <w:t>The shortcut:</w:t>
      </w:r>
      <w:r>
        <w:rPr>
          <w:b w:val="0"/>
          <w:i w:val="0"/>
        </w:rPr>
        <w:t xml:space="preserve"> commons belong to the </w:t>
      </w:r>
      <w:r>
        <w:rPr>
          <w:b/>
          <w:i w:val="0"/>
        </w:rPr>
        <w:t>group</w:t>
      </w:r>
      <w:r>
        <w:rPr>
          <w:b w:val="0"/>
          <w:i w:val="0"/>
        </w:rPr>
        <w:t xml:space="preserve">, not the drug. Asked whether the common side effects of penicillins, cephalosporins and carbapenems need learning separately, he said </w:t>
      </w:r>
      <w:r>
        <w:rPr>
          <w:b w:val="0"/>
          <w:i/>
        </w:rPr>
        <w:t>“no, they're all the same”</w:t>
      </w:r>
      <w:r>
        <w:rPr>
          <w:b w:val="0"/>
          <w:i w:val="0"/>
        </w:rPr>
        <w:t xml:space="preserve"> — do not spend the headspace. </w:t>
      </w:r>
      <w:r>
        <w:rPr>
          <w:b/>
          <w:i w:val="0"/>
        </w:rPr>
        <w:t>Spend it where a class breaks the pattern instead</w:t>
      </w:r>
      <w:r>
        <w:rPr>
          <w:b w:val="0"/>
          <w:i w:val="0"/>
        </w:rPr>
        <w:t xml:space="preserve">, and his example there is the </w:t>
      </w:r>
      <w:r>
        <w:rPr>
          <w:b/>
          <w:i w:val="0"/>
        </w:rPr>
        <w:t>tetracyclines</w:t>
      </w:r>
      <w:r>
        <w:rPr>
          <w:b w:val="0"/>
          <w:i w:val="0"/>
        </w:rPr>
        <w:t>: calcium binding, the bone effects, and photosensitivity that the patient genuinely needs advice about.</w:t>
      </w:r>
    </w:p>
    <w:p>
      <w:pPr>
        <w:spacing w:after="120"/>
      </w:pPr>
      <w:r>
        <w:rPr>
          <w:b/>
          <w:i w:val="0"/>
        </w:rPr>
        <w:t>Where to aim:</w:t>
      </w:r>
      <w:r>
        <w:rPr>
          <w:b w:val="0"/>
          <w:i w:val="0"/>
        </w:rPr>
        <w:t xml:space="preserve"> </w:t>
      </w:r>
      <w:r>
        <w:rPr>
          <w:b w:val="0"/>
          <w:i/>
        </w:rPr>
        <w:t>“Any time you see those killers or the zebras, those are always things you should look at.”</w:t>
      </w:r>
      <w:r>
        <w:rPr>
          <w:b w:val="0"/>
          <w:i w:val="0"/>
        </w:rPr>
        <w:t xml:space="preserve"> The commons cover a good share of what he asks; the idiosyncratic ones are each worth about one question — he named </w:t>
      </w:r>
      <w:r>
        <w:rPr>
          <w:b/>
          <w:i w:val="0"/>
        </w:rPr>
        <w:t>vancomycin infusion syndrome</w:t>
      </w:r>
      <w:r>
        <w:rPr>
          <w:b w:val="0"/>
          <w:i w:val="0"/>
        </w:rPr>
        <w:t>, and slowing the infusion to two hours, as exactly that kind of one-off.</w:t>
      </w:r>
    </w:p>
    <w:p>
      <w:pPr>
        <w:pStyle w:val="Heading1"/>
        <w:spacing w:before="280" w:after="100"/>
      </w:pPr>
      <w:r>
        <w:rPr>
          <w:rFonts w:ascii="Georgia" w:hAnsi="Georgia"/>
          <w:color w:val="6B3524"/>
        </w:rPr>
        <w:t>Autonomic drugs: the mechanism tells you the indication</w:t>
      </w:r>
    </w:p>
    <w:p>
      <w:pPr>
        <w:spacing w:after="120"/>
      </w:pPr>
      <w:r>
        <w:rPr>
          <w:b/>
          <w:i w:val="0"/>
        </w:rPr>
        <w:t>Asked:</w:t>
      </w:r>
      <w:r>
        <w:rPr>
          <w:b w:val="0"/>
          <w:i w:val="0"/>
        </w:rPr>
        <w:t xml:space="preserve"> “Should we focus on the categories, mechanism and adverse effects of the autonomic drugs, or what they are used for?”</w:t>
      </w:r>
    </w:p>
    <w:p>
      <w:pPr>
        <w:spacing w:after="120"/>
        <w:ind w:left="432"/>
      </w:pPr>
      <w:r>
        <w:rPr>
          <w:b w:val="0"/>
          <w:i w:val="0"/>
        </w:rPr>
        <w:t>“what their mechanisms are will inform you on what they are used for in a lot of cases”</w:t>
      </w:r>
      <w:r>
        <w:rPr>
          <w:b w:val="0"/>
          <w:i w:val="0"/>
        </w:rPr>
        <w:t xml:space="preserve">Dr. Wood · Exam review session, 3 September · </w:t>
      </w:r>
      <w:r>
        <w:rPr>
          <w:b w:val="0"/>
          <w:i w:val="0"/>
        </w:rPr>
        <w:t>24:10</w:t>
      </w:r>
    </w:p>
    <w:p>
      <w:pPr>
        <w:spacing w:after="120"/>
      </w:pPr>
      <w:r>
        <w:rPr>
          <w:b w:val="0"/>
          <w:i w:val="0"/>
        </w:rPr>
        <w:t xml:space="preserve">He said you do not learn the indications separately — you </w:t>
      </w:r>
      <w:r>
        <w:rPr>
          <w:b/>
          <w:i w:val="0"/>
        </w:rPr>
        <w:t>derive</w:t>
      </w:r>
      <w:r>
        <w:rPr>
          <w:b w:val="0"/>
          <w:i w:val="0"/>
        </w:rPr>
        <w:t xml:space="preserve"> them. The same antimuscarinic mechanism treats </w:t>
      </w:r>
      <w:r>
        <w:rPr>
          <w:b/>
          <w:i w:val="0"/>
        </w:rPr>
        <w:t>chronic drooling</w:t>
      </w:r>
      <w:r>
        <w:rPr>
          <w:b w:val="0"/>
          <w:i w:val="0"/>
        </w:rPr>
        <w:t xml:space="preserve"> and </w:t>
      </w:r>
      <w:r>
        <w:rPr>
          <w:b/>
          <w:i w:val="0"/>
        </w:rPr>
        <w:t>urinary incontinence</w:t>
      </w:r>
      <w:r>
        <w:rPr>
          <w:b w:val="0"/>
          <w:i w:val="0"/>
        </w:rPr>
        <w:t xml:space="preserve">; it is one action in two organs. Glycopyrrolate tends to be used for the first and oxybutynin for the second, but that is marketing and licensing rather than a real pharmacological divide, and </w:t>
      </w:r>
      <w:r>
        <w:rPr>
          <w:b w:val="0"/>
          <w:i/>
        </w:rPr>
        <w:t>either would work</w:t>
      </w:r>
      <w:r>
        <w:rPr>
          <w:b w:val="0"/>
          <w:i w:val="0"/>
        </w:rPr>
        <w:t>.</w:t>
      </w:r>
    </w:p>
    <w:p>
      <w:pPr>
        <w:spacing w:after="120"/>
      </w:pPr>
      <w:r>
        <w:rPr>
          <w:b/>
          <w:i w:val="0"/>
        </w:rPr>
        <w:t>His example question:</w:t>
      </w:r>
      <w:r>
        <w:rPr>
          <w:b w:val="0"/>
          <w:i w:val="0"/>
        </w:rPr>
        <w:t xml:space="preserve"> </w:t>
      </w:r>
      <w:r>
        <w:rPr>
          <w:b w:val="0"/>
          <w:i/>
        </w:rPr>
        <w:t>which of these would be most likely to slow a rapid heart rate?</w:t>
      </w:r>
      <w:r>
        <w:rPr>
          <w:b w:val="0"/>
          <w:i w:val="0"/>
        </w:rPr>
        <w:t xml:space="preserve"> There is more than one right road — a </w:t>
      </w:r>
      <w:r>
        <w:rPr>
          <w:b/>
          <w:i w:val="0"/>
        </w:rPr>
        <w:t>beta blocker</w:t>
      </w:r>
      <w:r>
        <w:rPr>
          <w:b w:val="0"/>
          <w:i w:val="0"/>
        </w:rPr>
        <w:t xml:space="preserve">, or a </w:t>
      </w:r>
      <w:r>
        <w:rPr>
          <w:b/>
          <w:i w:val="0"/>
        </w:rPr>
        <w:t>muscarinic agonist</w:t>
      </w:r>
      <w:r>
        <w:rPr>
          <w:b w:val="0"/>
          <w:i w:val="0"/>
        </w:rPr>
        <w:t xml:space="preserve">, or an </w:t>
      </w:r>
      <w:r>
        <w:rPr>
          <w:b/>
          <w:i w:val="0"/>
        </w:rPr>
        <w:t>acetylcholinesterase inhibitor</w:t>
      </w:r>
      <w:r>
        <w:rPr>
          <w:b w:val="0"/>
          <w:i w:val="0"/>
        </w:rPr>
        <w:t xml:space="preserve"> raising acetylcholine. Recognize the category and what it does, and the answer follows.</w:t>
      </w:r>
    </w:p>
    <w:p>
      <w:pPr>
        <w:spacing w:after="120"/>
      </w:pPr>
      <w:r>
        <w:rPr>
          <w:b/>
          <w:i w:val="0"/>
        </w:rPr>
        <w:t>The reasoning chain he wants you running:</w:t>
      </w:r>
      <w:r>
        <w:rPr>
          <w:b w:val="0"/>
          <w:i w:val="0"/>
        </w:rPr>
        <w:t xml:space="preserve"> this drug is an antimuscarinic → what do muscarinic effects look like → I am blocking those → so what should I see? That is where the </w:t>
      </w:r>
      <w:r>
        <w:rPr>
          <w:b w:val="0"/>
          <w:i/>
        </w:rPr>
        <w:t>mad as a hatter, dry as a bone</w:t>
      </w:r>
      <w:r>
        <w:rPr>
          <w:b w:val="0"/>
          <w:i w:val="0"/>
        </w:rPr>
        <w:t xml:space="preserve"> picture comes from, rather than being memorized as a list.</w:t>
      </w:r>
    </w:p>
    <w:p>
      <w:pPr>
        <w:pStyle w:val="Heading1"/>
        <w:spacing w:before="280" w:after="100"/>
      </w:pPr>
      <w:r>
        <w:rPr>
          <w:rFonts w:ascii="Georgia" w:hAnsi="Georgia"/>
          <w:color w:val="6B3524"/>
        </w:rPr>
        <w:t>The bradycardia question, and how he builds the wrong answers</w:t>
      </w:r>
    </w:p>
    <w:p>
      <w:pPr>
        <w:spacing w:after="120"/>
      </w:pPr>
      <w:r>
        <w:rPr>
          <w:b/>
          <w:i w:val="0"/>
        </w:rPr>
        <w:t>Asked:</w:t>
      </w:r>
      <w:r>
        <w:rPr>
          <w:b w:val="0"/>
          <w:i w:val="0"/>
        </w:rPr>
        <w:t xml:space="preserve"> “For conditions treatable with multiple drugs, like bradycardia, will the answer be clear?”</w:t>
      </w:r>
    </w:p>
    <w:p>
      <w:pPr>
        <w:spacing w:after="120"/>
        <w:ind w:left="432"/>
      </w:pPr>
      <w:r>
        <w:rPr>
          <w:b w:val="0"/>
          <w:i w:val="0"/>
        </w:rPr>
        <w:t>“I would not include both atropine and epinephrine. I would have like three drugs that lower the heart rate further and then like one that didn't”</w:t>
      </w:r>
      <w:r>
        <w:rPr>
          <w:b w:val="0"/>
          <w:i w:val="0"/>
        </w:rPr>
        <w:t xml:space="preserve">Dr. Wood · Exam review session, 3 September · </w:t>
      </w:r>
      <w:r>
        <w:rPr>
          <w:b w:val="0"/>
          <w:i w:val="0"/>
        </w:rPr>
        <w:t>34:40</w:t>
      </w:r>
    </w:p>
    <w:p>
      <w:pPr>
        <w:spacing w:after="120"/>
      </w:pPr>
      <w:r>
        <w:rPr>
          <w:b/>
          <w:i w:val="0"/>
        </w:rPr>
        <w:t>He will not make you choose between two right answers.</w:t>
      </w:r>
      <w:r>
        <w:rPr>
          <w:b w:val="0"/>
          <w:i w:val="0"/>
        </w:rPr>
        <w:t xml:space="preserve"> Asked whether a condition with several valid treatments would be ambiguous, he described how he builds the item instead: </w:t>
      </w:r>
      <w:r>
        <w:rPr>
          <w:b/>
          <w:i w:val="0"/>
        </w:rPr>
        <w:t>three drugs that would make the problem worse, and one that would not</w:t>
      </w:r>
      <w:r>
        <w:rPr>
          <w:b w:val="0"/>
          <w:i w:val="0"/>
        </w:rPr>
        <w:t xml:space="preserve">. He said he writes them that clearly on purpose — </w:t>
      </w:r>
      <w:r>
        <w:rPr>
          <w:b w:val="0"/>
          <w:i/>
        </w:rPr>
        <w:t>“I hate it when students challenge my question”</w:t>
      </w:r>
      <w:r>
        <w:rPr>
          <w:b w:val="0"/>
          <w:i w:val="0"/>
        </w:rPr>
        <w:t xml:space="preserve"> — so most distractors are </w:t>
      </w:r>
      <w:r>
        <w:rPr>
          <w:b/>
          <w:i w:val="0"/>
        </w:rPr>
        <w:t>not even theoretically reasonable</w:t>
      </w:r>
      <w:r>
        <w:rPr>
          <w:b w:val="0"/>
          <w:i w:val="0"/>
        </w:rPr>
        <w:t>.</w:t>
      </w:r>
    </w:p>
    <w:p>
      <w:pPr>
        <w:spacing w:after="120"/>
      </w:pPr>
      <w:r>
        <w:rPr>
          <w:b/>
          <w:i w:val="0"/>
        </w:rPr>
        <w:t>The clinical content he gave with it:</w:t>
      </w:r>
      <w:r>
        <w:rPr>
          <w:b w:val="0"/>
          <w:i w:val="0"/>
        </w:rPr>
        <w:t xml:space="preserve"> for symptomatic bradycardia he follows the advanced cardiac life support guidelines. </w:t>
      </w:r>
      <w:r>
        <w:rPr>
          <w:b/>
          <w:i w:val="0"/>
        </w:rPr>
        <w:t>Atropine</w:t>
      </w:r>
      <w:r>
        <w:rPr>
          <w:b w:val="0"/>
          <w:i w:val="0"/>
        </w:rPr>
        <w:t xml:space="preserve"> first — an antimuscarinic, so blocking the muscarinic receptors on the heart raises the rate. If that is not enough, move to </w:t>
      </w:r>
      <w:r>
        <w:rPr>
          <w:b/>
          <w:i w:val="0"/>
        </w:rPr>
        <w:t>beta-1 activation</w:t>
      </w:r>
      <w:r>
        <w:rPr>
          <w:b w:val="0"/>
          <w:i w:val="0"/>
        </w:rPr>
        <w:t xml:space="preserve">: dobutamine, epinephrine, norepinephrine or isoproterenol, all sharing that one action. In the guidelines </w:t>
      </w:r>
      <w:r>
        <w:rPr>
          <w:b/>
          <w:i w:val="0"/>
        </w:rPr>
        <w:t>epinephrine</w:t>
      </w:r>
      <w:r>
        <w:rPr>
          <w:b w:val="0"/>
          <w:i w:val="0"/>
        </w:rPr>
        <w:t xml:space="preserve"> is the usual next step after atropine.</w:t>
      </w:r>
    </w:p>
    <w:p>
      <w:pPr>
        <w:pStyle w:val="Heading1"/>
        <w:spacing w:before="280" w:after="100"/>
      </w:pPr>
      <w:r>
        <w:rPr>
          <w:rFonts w:ascii="Georgia" w:hAnsi="Georgia"/>
          <w:color w:val="6B3524"/>
        </w:rPr>
        <w:t>Antifungals: you do NOT need which fungus each one covers</w:t>
      </w:r>
    </w:p>
    <w:p>
      <w:pPr>
        <w:spacing w:after="120"/>
      </w:pPr>
      <w:r>
        <w:rPr>
          <w:b/>
          <w:i w:val="0"/>
        </w:rPr>
        <w:t>Asked:</w:t>
      </w:r>
      <w:r>
        <w:rPr>
          <w:b w:val="0"/>
          <w:i w:val="0"/>
        </w:rPr>
        <w:t xml:space="preserve"> “For the antifungals, do we need to know the exact organism — for example that posaconazole treats Aspergillus?”</w:t>
      </w:r>
    </w:p>
    <w:p>
      <w:pPr>
        <w:spacing w:after="120"/>
        <w:ind w:left="432"/>
      </w:pPr>
      <w:r>
        <w:rPr>
          <w:b w:val="0"/>
          <w:i w:val="0"/>
        </w:rPr>
        <w:t>“I would not get hung up on memorizing each individual type of fungus that the drugs treat”</w:t>
      </w:r>
      <w:r>
        <w:rPr>
          <w:b w:val="0"/>
          <w:i w:val="0"/>
        </w:rPr>
        <w:t xml:space="preserve">Dr. Wood · Exam review session, 3 September · </w:t>
      </w:r>
      <w:r>
        <w:rPr>
          <w:b w:val="0"/>
          <w:i w:val="0"/>
        </w:rPr>
        <w:t>39:10</w:t>
      </w:r>
    </w:p>
    <w:p>
      <w:pPr>
        <w:spacing w:after="120"/>
      </w:pPr>
      <w:r>
        <w:rPr>
          <w:b/>
          <w:i w:val="0"/>
        </w:rPr>
        <w:t>No.</w:t>
      </w:r>
      <w:r>
        <w:rPr>
          <w:b w:val="0"/>
          <w:i w:val="0"/>
        </w:rPr>
        <w:t xml:space="preserve"> He said the fungi do not sort into clean categories the way bacteria do with gram-positive and gram-negative, and that the organism lists were there to give a sense of what is being treated, not to be memorized.</w:t>
      </w:r>
    </w:p>
    <w:p>
      <w:pPr>
        <w:spacing w:after="120"/>
      </w:pPr>
      <w:r>
        <w:rPr>
          <w:b/>
          <w:i w:val="0"/>
        </w:rPr>
        <w:t>What he wants instead</w:t>
      </w:r>
      <w:r>
        <w:rPr>
          <w:b w:val="0"/>
          <w:i w:val="0"/>
        </w:rPr>
        <w:t xml:space="preserve"> is that you can identify the </w:t>
      </w:r>
      <w:r>
        <w:rPr>
          <w:b/>
          <w:i w:val="0"/>
        </w:rPr>
        <w:t>type</w:t>
      </w:r>
      <w:r>
        <w:rPr>
          <w:b w:val="0"/>
          <w:i w:val="0"/>
        </w:rPr>
        <w:t xml:space="preserve"> of antifungal, and above all </w:t>
      </w:r>
      <w:r>
        <w:rPr>
          <w:b/>
          <w:i w:val="0"/>
        </w:rPr>
        <w:t>tell an antifungal from an antiviral</w:t>
      </w:r>
      <w:r>
        <w:rPr>
          <w:b w:val="0"/>
          <w:i w:val="0"/>
        </w:rPr>
        <w:t xml:space="preserve">. His example item: a patient is </w:t>
      </w:r>
      <w:r>
        <w:rPr>
          <w:b/>
          <w:i w:val="0"/>
        </w:rPr>
        <w:t>influenza A positive</w:t>
      </w:r>
      <w:r>
        <w:rPr>
          <w:b w:val="0"/>
          <w:i w:val="0"/>
        </w:rPr>
        <w:t>, which of these is the best treatment — with an antifungal sitting among the options for you to reject.</w:t>
      </w:r>
    </w:p>
    <w:p>
      <w:pPr>
        <w:pStyle w:val="Heading1"/>
        <w:spacing w:before="280" w:after="100"/>
      </w:pPr>
      <w:r>
        <w:rPr>
          <w:rFonts w:ascii="Georgia" w:hAnsi="Georgia"/>
          <w:color w:val="6B3524"/>
        </w:rPr>
        <w:t>How many questions, and where they come from</w:t>
      </w:r>
    </w:p>
    <w:p>
      <w:pPr>
        <w:spacing w:after="120"/>
      </w:pPr>
      <w:r>
        <w:rPr>
          <w:b/>
          <w:i w:val="0"/>
        </w:rPr>
        <w:t>Asked:</w:t>
      </w:r>
      <w:r>
        <w:rPr>
          <w:b w:val="0"/>
          <w:i w:val="0"/>
        </w:rPr>
        <w:t xml:space="preserve"> “How many questions are there per lecture?”</w:t>
      </w:r>
    </w:p>
    <w:p>
      <w:pPr>
        <w:spacing w:after="120"/>
        <w:ind w:left="432"/>
      </w:pPr>
      <w:r>
        <w:rPr>
          <w:b w:val="0"/>
          <w:i w:val="0"/>
        </w:rPr>
        <w:t>“There are five questions per technical hour of lecture”</w:t>
      </w:r>
      <w:r>
        <w:rPr>
          <w:b w:val="0"/>
          <w:i w:val="0"/>
        </w:rPr>
        <w:t xml:space="preserve">Dr. Wood · Exam review session, 3 September · </w:t>
      </w:r>
      <w:r>
        <w:rPr>
          <w:b w:val="0"/>
          <w:i w:val="0"/>
        </w:rPr>
        <w:t>41:00</w:t>
      </w:r>
    </w:p>
    <w:p>
      <w:pPr>
        <w:spacing w:after="120"/>
      </w:pPr>
      <w:r>
        <w:rPr>
          <w:b/>
          <w:i w:val="0"/>
        </w:rPr>
        <w:t>Five questions per scheduled hour of lecture.</w:t>
      </w:r>
      <w:r>
        <w:rPr>
          <w:b w:val="0"/>
          <w:i w:val="0"/>
        </w:rPr>
        <w:t xml:space="preserve"> He does not set the hours — the course director does — but the ratio is fixed. Dermatology was scheduled three hours, which is more than he thinks it needs, and it still earns fifteen questions.</w:t>
      </w:r>
    </w:p>
    <w:p>
      <w:pPr>
        <w:spacing w:after="120"/>
      </w:pPr>
      <w:r>
        <w:rPr>
          <w:b w:val="0"/>
          <w:i w:val="0"/>
        </w:rPr>
        <w:t xml:space="preserve">His split: </w:t>
      </w:r>
      <w:r>
        <w:rPr>
          <w:b/>
          <w:i w:val="0"/>
        </w:rPr>
        <w:t>15 from the first deck, 15 from the second</w:t>
      </w:r>
      <w:r>
        <w:rPr>
          <w:b w:val="0"/>
          <w:i w:val="0"/>
        </w:rPr>
        <w:t xml:space="preserve">, and the remainder from the third. </w:t>
      </w:r>
      <w:r>
        <w:rPr>
          <w:b/>
          <w:i w:val="0"/>
        </w:rPr>
        <w:t>He was not certain of the total</w:t>
      </w:r>
      <w:r>
        <w:rPr>
          <w:b w:val="0"/>
          <w:i w:val="0"/>
        </w:rPr>
        <w:t xml:space="preserve">, talking himself between 40 and 45 and settling on </w:t>
      </w:r>
      <w:r>
        <w:rPr>
          <w:b w:val="0"/>
          <w:i/>
        </w:rPr>
        <w:t>“I think it's 45 … I need to double check”</w:t>
      </w:r>
      <w:r>
        <w:rPr>
          <w:b w:val="0"/>
          <w:i w:val="0"/>
        </w:rPr>
        <w:t>. It is written here as he said it rather than tidied into a figure he did not commit to.</w:t>
      </w:r>
    </w:p>
    <w:p>
      <w:pPr>
        <w:spacing w:after="120"/>
      </w:pPr>
      <w:r>
        <w:rPr>
          <w:b w:val="0"/>
          <w:i w:val="0"/>
        </w:rPr>
        <w:t xml:space="preserve">He also mentioned, unprompted, that his class averages usually land in the </w:t>
      </w:r>
      <w:r>
        <w:rPr>
          <w:b/>
          <w:i w:val="0"/>
        </w:rPr>
        <w:t>upper eighties</w:t>
      </w:r>
      <w:r>
        <w:rPr>
          <w:b w:val="0"/>
          <w:i w:val="0"/>
        </w:rPr>
        <w:t>.</w:t>
      </w:r>
    </w:p>
    <w:p>
      <w:pPr>
        <w:pStyle w:val="Heading1"/>
        <w:spacing w:before="280" w:after="100"/>
      </w:pPr>
      <w:r>
        <w:rPr>
          <w:rFonts w:ascii="Georgia" w:hAnsi="Georgia"/>
          <w:color w:val="6B3524"/>
        </w:rPr>
        <w:t>What he told the student who said their brain was scrambled</w:t>
      </w:r>
    </w:p>
    <w:p>
      <w:pPr>
        <w:spacing w:after="120"/>
      </w:pPr>
      <w:r>
        <w:rPr>
          <w:b/>
          <w:i w:val="0"/>
        </w:rPr>
        <w:t>Asked:</w:t>
      </w:r>
      <w:r>
        <w:rPr>
          <w:b w:val="0"/>
          <w:i w:val="0"/>
        </w:rPr>
        <w:t xml:space="preserve"> “Any tips on last-minute studying, or things we really should focus on?”</w:t>
      </w:r>
    </w:p>
    <w:p>
      <w:pPr>
        <w:spacing w:after="120"/>
        <w:ind w:left="432"/>
      </w:pPr>
      <w:r>
        <w:rPr>
          <w:b w:val="0"/>
          <w:i w:val="0"/>
        </w:rPr>
        <w:t>“if you hear me spending like five minutes talking about something, chances are I think that's really important”</w:t>
      </w:r>
      <w:r>
        <w:rPr>
          <w:b w:val="0"/>
          <w:i w:val="0"/>
        </w:rPr>
        <w:t xml:space="preserve">Dr. Wood · Exam review session, 3 September · </w:t>
      </w:r>
      <w:r>
        <w:rPr>
          <w:b w:val="0"/>
          <w:i w:val="0"/>
        </w:rPr>
        <w:t>26:00</w:t>
      </w:r>
    </w:p>
    <w:p>
      <w:pPr>
        <w:spacing w:after="120"/>
      </w:pPr>
      <w:r>
        <w:rPr>
          <w:b/>
          <w:i w:val="0"/>
        </w:rPr>
        <w:t>Re-listen rather than re-read.</w:t>
      </w:r>
      <w:r>
        <w:rPr>
          <w:b w:val="0"/>
          <w:i w:val="0"/>
        </w:rPr>
        <w:t xml:space="preserve"> It is only three lectures. He said outright that </w:t>
      </w:r>
      <w:r>
        <w:rPr>
          <w:b/>
          <w:i w:val="0"/>
        </w:rPr>
        <w:t>time spent is his own signal</w:t>
      </w:r>
      <w:r>
        <w:rPr>
          <w:b w:val="0"/>
          <w:i w:val="0"/>
        </w:rPr>
        <w:t xml:space="preserve"> — five minutes on something means he thinks it matters and probably wrote a question on it — and that the slides are not the whole picture, because the context, illustrations and stories are where the concepts lock in.</w:t>
      </w:r>
    </w:p>
    <w:p>
      <w:pPr>
        <w:spacing w:after="120"/>
      </w:pPr>
      <w:r>
        <w:rPr>
          <w:b/>
          <w:i w:val="0"/>
        </w:rPr>
        <w:t>Group study</w:t>
      </w:r>
      <w:r>
        <w:rPr>
          <w:b w:val="0"/>
          <w:i w:val="0"/>
        </w:rPr>
        <w:t xml:space="preserve">, which he made the strongest case for: you cannot become fluent in a language through an app, you become fluent by talking to people who will catch what you have wrong. There is what you know, what you know you do not know, and </w:t>
      </w:r>
      <w:r>
        <w:rPr>
          <w:b/>
          <w:i w:val="0"/>
        </w:rPr>
        <w:t>what you do not know you do not know</w:t>
      </w:r>
      <w:r>
        <w:rPr>
          <w:b w:val="0"/>
          <w:i w:val="0"/>
        </w:rPr>
        <w:t xml:space="preserve"> — and working alone is how that third category survives until the exam finds it.</w:t>
      </w:r>
    </w:p>
    <w:p>
      <w:pPr>
        <w:spacing w:after="120"/>
      </w:pPr>
      <w:r>
        <w:rPr>
          <w:b w:val="0"/>
          <w:i/>
        </w:rPr>
        <w:t>“The first rule of PA school is being comfortable with being uncomfortable.”</w:t>
      </w:r>
    </w:p>
    <w:p>
      <w:pPr>
        <w:pStyle w:val="Heading1"/>
        <w:spacing w:before="280" w:after="100"/>
      </w:pPr>
      <w:r>
        <w:rPr>
          <w:rFonts w:ascii="Georgia" w:hAnsi="Georgia"/>
          <w:color w:val="6B3524"/>
        </w:rPr>
        <w:t>The acne ladder, in his own order</w:t>
      </w:r>
    </w:p>
    <w:p>
      <w:pPr>
        <w:spacing w:after="120"/>
      </w:pPr>
      <w:r>
        <w:rPr>
          <w:b/>
          <w:i w:val="0"/>
        </w:rPr>
        <w:t>Asked:</w:t>
      </w:r>
      <w:r>
        <w:rPr>
          <w:b w:val="0"/>
          <w:i w:val="0"/>
        </w:rPr>
        <w:t xml:space="preserve"> “Can we go over the acne treatments in order for the different levels of acne?”</w:t>
      </w:r>
    </w:p>
    <w:p>
      <w:pPr>
        <w:spacing w:after="120"/>
        <w:ind w:left="432"/>
      </w:pPr>
      <w:r>
        <w:rPr>
          <w:b w:val="0"/>
          <w:i w:val="0"/>
        </w:rPr>
        <w:t>“start easy, start simple stuff first and then kind of work your way up to the big guns”</w:t>
      </w:r>
      <w:r>
        <w:rPr>
          <w:b w:val="0"/>
          <w:i w:val="0"/>
        </w:rPr>
        <w:t xml:space="preserve">Dr. Wood · Exam review session, 3 September · </w:t>
      </w:r>
      <w:r>
        <w:rPr>
          <w:b w:val="0"/>
          <w:i w:val="0"/>
        </w:rPr>
        <w:t>11:55</w:t>
      </w:r>
    </w:p>
    <w:p>
      <w:pPr>
        <w:spacing w:after="120"/>
      </w:pPr>
      <w:r>
        <w:rPr>
          <w:b/>
          <w:i w:val="0"/>
        </w:rPr>
        <w:t>Before anything: ask what the patient has already tried</w:t>
      </w:r>
      <w:r>
        <w:rPr>
          <w:b w:val="0"/>
          <w:i w:val="0"/>
        </w:rPr>
        <w:t>, and what did and did not work. He was blunt about why — prescribe something they have already failed and they will conclude you were not listening.</w:t>
      </w:r>
    </w:p>
    <w:p>
      <w:pPr>
        <w:pStyle w:val="ListNumber"/>
        <w:spacing w:after="40"/>
      </w:pPr>
      <w:r>
        <w:rPr>
          <w:b/>
          <w:i w:val="0"/>
          <w:sz w:val="20"/>
        </w:rPr>
        <w:t>Benzoyl peroxide.</w:t>
      </w:r>
      <w:r>
        <w:rPr>
          <w:b w:val="0"/>
          <w:i w:val="0"/>
          <w:sz w:val="20"/>
        </w:rPr>
        <w:t xml:space="preserve"> The right first move, though most patients have tried it already.</w:t>
      </w:r>
    </w:p>
    <w:p>
      <w:pPr>
        <w:pStyle w:val="ListNumber"/>
        <w:spacing w:after="40"/>
      </w:pPr>
      <w:r>
        <w:rPr>
          <w:b/>
          <w:i w:val="0"/>
          <w:sz w:val="20"/>
        </w:rPr>
        <w:t>Topical retinoids</w:t>
      </w:r>
      <w:r>
        <w:rPr>
          <w:b w:val="0"/>
          <w:i w:val="0"/>
          <w:sz w:val="20"/>
        </w:rPr>
        <w:t xml:space="preserve"> — tretinoin — and </w:t>
      </w:r>
      <w:r>
        <w:rPr>
          <w:b/>
          <w:i w:val="0"/>
          <w:sz w:val="20"/>
        </w:rPr>
        <w:t>azelaic acid</w:t>
      </w:r>
      <w:r>
        <w:rPr>
          <w:b w:val="0"/>
          <w:i w:val="0"/>
          <w:sz w:val="20"/>
        </w:rPr>
        <w:t>.</w:t>
      </w:r>
    </w:p>
    <w:p>
      <w:pPr>
        <w:pStyle w:val="ListNumber"/>
        <w:spacing w:after="40"/>
      </w:pPr>
      <w:r>
        <w:rPr>
          <w:b/>
          <w:i w:val="0"/>
          <w:sz w:val="20"/>
        </w:rPr>
        <w:t>Topical antibiotics</w:t>
      </w:r>
      <w:r>
        <w:rPr>
          <w:b w:val="0"/>
          <w:i w:val="0"/>
          <w:sz w:val="20"/>
        </w:rPr>
        <w:t xml:space="preserve"> — minocycline, clindamycin or erythromycin.</w:t>
      </w:r>
    </w:p>
    <w:p>
      <w:pPr>
        <w:pStyle w:val="ListNumber"/>
        <w:spacing w:after="40"/>
      </w:pPr>
      <w:r>
        <w:rPr>
          <w:b/>
          <w:i w:val="0"/>
          <w:sz w:val="20"/>
        </w:rPr>
        <w:t>Systemic antibiotics</w:t>
      </w:r>
      <w:r>
        <w:rPr>
          <w:b w:val="0"/>
          <w:i w:val="0"/>
          <w:sz w:val="20"/>
        </w:rPr>
        <w:t xml:space="preserve"> — doxycycline or minocycline. The trigger is the disease outgrowing topical therapy: a </w:t>
      </w:r>
      <w:r>
        <w:rPr>
          <w:b/>
          <w:i w:val="0"/>
          <w:sz w:val="20"/>
        </w:rPr>
        <w:t>larger area</w:t>
      </w:r>
      <w:r>
        <w:rPr>
          <w:b w:val="0"/>
          <w:i w:val="0"/>
          <w:sz w:val="20"/>
        </w:rPr>
        <w:t xml:space="preserve"> where applying a topical is no longer practical, or disease that is more </w:t>
      </w:r>
      <w:r>
        <w:rPr>
          <w:b/>
          <w:i w:val="0"/>
          <w:sz w:val="20"/>
        </w:rPr>
        <w:t>severe or inflammatory</w:t>
      </w:r>
      <w:r>
        <w:rPr>
          <w:b w:val="0"/>
          <w:i w:val="0"/>
          <w:sz w:val="20"/>
        </w:rPr>
        <w:t>.</w:t>
      </w:r>
    </w:p>
    <w:p>
      <w:pPr>
        <w:pStyle w:val="ListNumber"/>
        <w:spacing w:after="40"/>
      </w:pPr>
      <w:r>
        <w:rPr>
          <w:b/>
          <w:i w:val="0"/>
          <w:sz w:val="20"/>
        </w:rPr>
        <w:t>Isotretinoin</w:t>
      </w:r>
      <w:r>
        <w:rPr>
          <w:b w:val="0"/>
          <w:i w:val="0"/>
          <w:sz w:val="20"/>
        </w:rPr>
        <w:t xml:space="preserve"> — the most effective and the </w:t>
      </w:r>
      <w:r>
        <w:rPr>
          <w:b/>
          <w:i w:val="0"/>
          <w:sz w:val="20"/>
        </w:rPr>
        <w:t>last line</w:t>
      </w:r>
      <w:r>
        <w:rPr>
          <w:b w:val="0"/>
          <w:i w:val="0"/>
          <w:sz w:val="20"/>
        </w:rPr>
        <w:t>. He called it the nuclear option.</w:t>
      </w:r>
    </w:p>
    <w:p>
      <w:pPr>
        <w:spacing w:after="120"/>
      </w:pPr>
      <w:r>
        <w:rPr>
          <w:b/>
          <w:i w:val="0"/>
        </w:rPr>
        <w:t>Maximize the dose before you add or switch.</w:t>
      </w:r>
      <w:r>
        <w:rPr>
          <w:b w:val="0"/>
          <w:i w:val="0"/>
        </w:rPr>
        <w:t xml:space="preserve"> If a product is partly working, go up in strength first.</w:t>
      </w:r>
    </w:p>
    <w:p>
      <w:pPr>
        <w:spacing w:after="120"/>
      </w:pPr>
      <w:r>
        <w:rPr>
          <w:b/>
          <w:i w:val="0"/>
        </w:rPr>
        <w:t>Why going systemic costs you something.</w:t>
      </w:r>
      <w:r>
        <w:rPr>
          <w:b w:val="0"/>
          <w:i w:val="0"/>
        </w:rPr>
        <w:t xml:space="preserve"> A topical works only where you put it, so the side effects stay local. Systemic antibiotics bring </w:t>
      </w:r>
      <w:r>
        <w:rPr>
          <w:b/>
          <w:i w:val="0"/>
        </w:rPr>
        <w:t>gastrointestinal upset</w:t>
      </w:r>
      <w:r>
        <w:rPr>
          <w:b w:val="0"/>
          <w:i w:val="0"/>
        </w:rPr>
        <w:t xml:space="preserve">, </w:t>
      </w:r>
      <w:r>
        <w:rPr>
          <w:b/>
          <w:i w:val="0"/>
        </w:rPr>
        <w:t>photosensitivity</w:t>
      </w:r>
      <w:r>
        <w:rPr>
          <w:b w:val="0"/>
          <w:i w:val="0"/>
        </w:rPr>
        <w:t xml:space="preserve"> with the tetracyclines, and </w:t>
      </w:r>
      <w:r>
        <w:rPr>
          <w:b/>
          <w:i w:val="0"/>
        </w:rPr>
        <w:t>food and drug interactions</w:t>
      </w:r>
      <w:r>
        <w:rPr>
          <w:b w:val="0"/>
          <w:i w:val="0"/>
        </w:rPr>
        <w:t xml:space="preserve"> — his example is a patient on a </w:t>
      </w:r>
      <w:r>
        <w:rPr>
          <w:b/>
          <w:i w:val="0"/>
        </w:rPr>
        <w:t>prenatal vitamin</w:t>
      </w:r>
      <w:r>
        <w:rPr>
          <w:b w:val="0"/>
          <w:i w:val="0"/>
        </w:rPr>
        <w:t xml:space="preserve"> whose </w:t>
      </w:r>
      <w:r>
        <w:rPr>
          <w:b/>
          <w:i w:val="0"/>
        </w:rPr>
        <w:t>calcium and iron bind up the doxycycline</w:t>
      </w:r>
      <w:r>
        <w:rPr>
          <w:b w:val="0"/>
          <w:i w:val="0"/>
        </w:rPr>
        <w:t>.</w:t>
      </w:r>
    </w:p>
    <w:p>
      <w:pPr>
        <w:spacing w:after="120"/>
      </w:pPr>
      <w:r>
        <w:rPr>
          <w:b/>
          <w:i w:val="0"/>
        </w:rPr>
        <w:t>Isotretinoin's price:</w:t>
      </w:r>
      <w:r>
        <w:rPr>
          <w:b w:val="0"/>
          <w:i w:val="0"/>
        </w:rPr>
        <w:t xml:space="preserve"> heavy drying and </w:t>
      </w:r>
      <w:r>
        <w:rPr>
          <w:b/>
          <w:i w:val="0"/>
        </w:rPr>
        <w:t>desquamation</w:t>
      </w:r>
      <w:r>
        <w:rPr>
          <w:b w:val="0"/>
          <w:i w:val="0"/>
        </w:rPr>
        <w:t xml:space="preserve">, </w:t>
      </w:r>
      <w:r>
        <w:rPr>
          <w:b/>
          <w:i w:val="0"/>
        </w:rPr>
        <w:t>photosensitivity</w:t>
      </w:r>
      <w:r>
        <w:rPr>
          <w:b w:val="0"/>
          <w:i w:val="0"/>
        </w:rPr>
        <w:t xml:space="preserve">, light toxicity in the </w:t>
      </w:r>
      <w:r>
        <w:rPr>
          <w:b/>
          <w:i w:val="0"/>
        </w:rPr>
        <w:t>eyes</w:t>
      </w:r>
      <w:r>
        <w:rPr>
          <w:b w:val="0"/>
          <w:i w:val="0"/>
        </w:rPr>
        <w:t xml:space="preserve">, and </w:t>
      </w:r>
      <w:r>
        <w:rPr>
          <w:b/>
          <w:i w:val="0"/>
        </w:rPr>
        <w:t>worsening depression with possible suicidal ideation</w:t>
      </w:r>
      <w:r>
        <w:rPr>
          <w:b w:val="0"/>
          <w:i w:val="0"/>
        </w:rPr>
        <w:t>.</w:t>
      </w:r>
    </w:p>
    <w:p>
      <w:pPr>
        <w:spacing w:after="120"/>
      </w:pPr>
      <w:r>
        <w:rPr>
          <w:b/>
          <w:i w:val="0"/>
        </w:rPr>
        <w:t>Also available:</w:t>
      </w:r>
      <w:r>
        <w:rPr>
          <w:b w:val="0"/>
          <w:i w:val="0"/>
        </w:rPr>
        <w:t xml:space="preserve"> </w:t>
      </w:r>
      <w:r>
        <w:rPr>
          <w:b/>
          <w:i w:val="0"/>
        </w:rPr>
        <w:t>intralesional steroids</w:t>
      </w:r>
      <w:r>
        <w:rPr>
          <w:b w:val="0"/>
          <w:i w:val="0"/>
        </w:rPr>
        <w:t xml:space="preserve"> for large inflammatory pustules, though he called that a specialty use.</w:t>
      </w:r>
    </w:p>
    <w:p>
      <w:pPr>
        <w:spacing w:after="120"/>
      </w:pPr>
      <w:r>
        <w:rPr>
          <w:b/>
          <w:i w:val="0"/>
        </w:rPr>
        <w:t>And the contrast worth remembering:</w:t>
      </w:r>
      <w:r>
        <w:rPr>
          <w:b w:val="0"/>
          <w:i w:val="0"/>
        </w:rPr>
        <w:t xml:space="preserve"> with an acute infection you do not hesitate — you go straight to what treats it. With a chronic condition like acne, </w:t>
      </w:r>
      <w:r>
        <w:rPr>
          <w:b w:val="0"/>
          <w:i/>
        </w:rPr>
        <w:t>“it's a marathon, it's not a race”</w:t>
      </w:r>
      <w:r>
        <w:rPr>
          <w:b w:val="0"/>
          <w:i w:val="0"/>
        </w:rPr>
        <w:t>, and you can work up the ladder finding what suits the patient.</w:t>
      </w:r>
    </w:p>
    <w:p>
      <w:pPr>
        <w:pStyle w:val="Heading1"/>
        <w:spacing w:before="280" w:after="100"/>
      </w:pPr>
      <w:r>
        <w:rPr>
          <w:rFonts w:ascii="Georgia" w:hAnsi="Georgia"/>
          <w:color w:val="6B3524"/>
        </w:rPr>
        <w:t>Why the cholinergic agents are not first choice in glaucoma</w:t>
      </w:r>
    </w:p>
    <w:p>
      <w:pPr>
        <w:spacing w:after="120"/>
      </w:pPr>
      <w:r>
        <w:rPr>
          <w:b/>
          <w:i w:val="0"/>
        </w:rPr>
        <w:t>Asked:</w:t>
      </w:r>
      <w:r>
        <w:rPr>
          <w:b w:val="0"/>
          <w:i w:val="0"/>
        </w:rPr>
        <w:t xml:space="preserve"> “Would pilocarpine be preferable to carbachol because carbachol has more adverse effects?”</w:t>
      </w:r>
    </w:p>
    <w:p>
      <w:pPr>
        <w:spacing w:after="120"/>
        <w:ind w:left="432"/>
      </w:pPr>
      <w:r>
        <w:rPr>
          <w:b w:val="0"/>
          <w:i w:val="0"/>
        </w:rPr>
        <w:t>“the cholinergic agents are not really preferred for management of glaucoma”</w:t>
      </w:r>
      <w:r>
        <w:rPr>
          <w:b w:val="0"/>
          <w:i w:val="0"/>
        </w:rPr>
        <w:t xml:space="preserve">Dr. Wood · Exam review session, 3 September · </w:t>
      </w:r>
      <w:r>
        <w:rPr>
          <w:b w:val="0"/>
          <w:i w:val="0"/>
        </w:rPr>
        <w:t>15:30</w:t>
      </w:r>
    </w:p>
    <w:p>
      <w:pPr>
        <w:spacing w:after="120"/>
      </w:pPr>
      <w:r>
        <w:rPr>
          <w:b w:val="0"/>
          <w:i w:val="0"/>
        </w:rPr>
        <w:t xml:space="preserve">He said he does not think either is clinically worse than the other, whatever the slide lists. </w:t>
      </w:r>
      <w:r>
        <w:rPr>
          <w:b/>
          <w:i w:val="0"/>
        </w:rPr>
        <w:t>The real answer is that the whole class is not preferred</w:t>
      </w:r>
      <w:r>
        <w:rPr>
          <w:b w:val="0"/>
          <w:i w:val="0"/>
        </w:rPr>
        <w:t xml:space="preserve"> in glaucoma until you reach a third or fourth line agent.</w:t>
      </w:r>
    </w:p>
    <w:p>
      <w:pPr>
        <w:spacing w:after="120"/>
      </w:pPr>
      <w:r>
        <w:rPr>
          <w:b/>
          <w:i w:val="0"/>
        </w:rPr>
        <w:t>Why:</w:t>
      </w:r>
      <w:r>
        <w:rPr>
          <w:b w:val="0"/>
          <w:i w:val="0"/>
        </w:rPr>
        <w:t xml:space="preserve"> they cause </w:t>
      </w:r>
      <w:r>
        <w:rPr>
          <w:b/>
          <w:i w:val="0"/>
        </w:rPr>
        <w:t>miosis</w:t>
      </w:r>
      <w:r>
        <w:rPr>
          <w:b w:val="0"/>
          <w:i w:val="0"/>
        </w:rPr>
        <w:t xml:space="preserve"> and impair the ability to re-accommodate the lens, so the patient gets poor vision and an induced short-sightedness, plus headaches from straining to see. He singled out </w:t>
      </w:r>
      <w:r>
        <w:rPr>
          <w:b/>
          <w:i w:val="0"/>
        </w:rPr>
        <w:t>younger patients with full vision</w:t>
      </w:r>
      <w:r>
        <w:rPr>
          <w:b w:val="0"/>
          <w:i w:val="0"/>
        </w:rPr>
        <w:t xml:space="preserve"> as the worst fit. First-line is a </w:t>
      </w:r>
      <w:r>
        <w:rPr>
          <w:b/>
          <w:i w:val="0"/>
        </w:rPr>
        <w:t>prostaglandin or a beta blocker</w:t>
      </w:r>
      <w:r>
        <w:rPr>
          <w:b w:val="0"/>
          <w:i w:val="0"/>
        </w:rPr>
        <w:t xml:space="preserve"> instead.</w:t>
      </w:r>
    </w:p>
    <w:p>
      <w:pPr>
        <w:pStyle w:val="Heading1"/>
        <w:spacing w:before="280" w:after="100"/>
      </w:pPr>
      <w:r>
        <w:rPr>
          <w:rFonts w:ascii="Georgia" w:hAnsi="Georgia"/>
          <w:color w:val="6B3524"/>
        </w:rPr>
        <w:t>The three buckets he sorts every adverse effect into</w:t>
      </w:r>
    </w:p>
    <w:p>
      <w:pPr>
        <w:spacing w:after="120"/>
        <w:ind w:left="432"/>
      </w:pPr>
      <w:r>
        <w:rPr>
          <w:b w:val="0"/>
          <w:i w:val="0"/>
        </w:rPr>
        <w:t>“I typically break them up into three categories. There's the killers, the commons and the zebras”</w:t>
      </w:r>
      <w:r>
        <w:rPr>
          <w:b w:val="0"/>
          <w:i w:val="0"/>
        </w:rPr>
        <w:t xml:space="preserve">Dr. Wood · Exam review session, 3 September · </w:t>
      </w:r>
      <w:r>
        <w:rPr>
          <w:b w:val="0"/>
          <w:i w:val="0"/>
        </w:rPr>
        <w:t>17:20</w:t>
      </w:r>
    </w:p>
    <w:p>
      <w:pPr>
        <w:spacing w:after="120"/>
      </w:pPr>
      <w:r>
        <w:rPr>
          <w:b w:val="0"/>
          <w:i w:val="0"/>
        </w:rPr>
        <w:t xml:space="preserve">Asked which adverse effects to focus on, he gave a framework rather than a list. </w:t>
      </w:r>
      <w:r>
        <w:rPr>
          <w:b/>
          <w:i w:val="0"/>
        </w:rPr>
        <w:t>Sort every side effect you have learned into one of these three, and you will know what he is asking for.</w:t>
      </w:r>
    </w:p>
    <w:p>
      <w:pPr>
        <w:pStyle w:val="ListBullet"/>
        <w:spacing w:after="40"/>
      </w:pPr>
      <w:r>
        <w:rPr>
          <w:b/>
          <w:i w:val="0"/>
          <w:sz w:val="20"/>
        </w:rPr>
        <w:t>Killers</w:t>
      </w:r>
      <w:r>
        <w:rPr>
          <w:b w:val="0"/>
          <w:i w:val="0"/>
          <w:sz w:val="20"/>
        </w:rPr>
        <w:t xml:space="preserve"> — dangerous, and they require </w:t>
      </w:r>
      <w:r>
        <w:rPr>
          <w:b/>
          <w:i w:val="0"/>
          <w:sz w:val="20"/>
        </w:rPr>
        <w:t>immediate discontinuation and evaluation</w:t>
      </w:r>
      <w:r>
        <w:rPr>
          <w:b w:val="0"/>
          <w:i w:val="0"/>
          <w:sz w:val="20"/>
        </w:rPr>
        <w:t xml:space="preserve">. His examples: </w:t>
      </w:r>
      <w:r>
        <w:rPr>
          <w:b/>
          <w:i w:val="0"/>
          <w:sz w:val="20"/>
        </w:rPr>
        <w:t>anaphylaxis</w:t>
      </w:r>
      <w:r>
        <w:rPr>
          <w:b w:val="0"/>
          <w:i w:val="0"/>
          <w:sz w:val="20"/>
        </w:rPr>
        <w:t xml:space="preserve">; </w:t>
      </w:r>
      <w:r>
        <w:rPr>
          <w:b/>
          <w:i w:val="0"/>
          <w:sz w:val="20"/>
        </w:rPr>
        <w:t>Stevens-Johnson syndrome</w:t>
      </w:r>
      <w:r>
        <w:rPr>
          <w:b w:val="0"/>
          <w:i w:val="0"/>
          <w:sz w:val="20"/>
        </w:rPr>
        <w:t xml:space="preserve"> with agents such as </w:t>
      </w:r>
      <w:r>
        <w:rPr>
          <w:b/>
          <w:i w:val="0"/>
          <w:sz w:val="20"/>
        </w:rPr>
        <w:t>sulfamethoxazole and trimethoprim</w:t>
      </w:r>
      <w:r>
        <w:rPr>
          <w:b w:val="0"/>
          <w:i w:val="0"/>
          <w:sz w:val="20"/>
        </w:rPr>
        <w:t xml:space="preserve">; </w:t>
      </w:r>
      <w:r>
        <w:rPr>
          <w:b/>
          <w:i w:val="0"/>
          <w:sz w:val="20"/>
        </w:rPr>
        <w:t>suicidal ideation with isotretinoin</w:t>
      </w:r>
      <w:r>
        <w:rPr>
          <w:b w:val="0"/>
          <w:i w:val="0"/>
          <w:sz w:val="20"/>
        </w:rPr>
        <w:t xml:space="preserve">. These are not necessarily the commonest — they are the ones the patient must be </w:t>
      </w:r>
      <w:r>
        <w:rPr>
          <w:b/>
          <w:i w:val="0"/>
          <w:sz w:val="20"/>
        </w:rPr>
        <w:t>warned about in advance</w:t>
      </w:r>
      <w:r>
        <w:rPr>
          <w:b w:val="0"/>
          <w:i w:val="0"/>
          <w:sz w:val="20"/>
        </w:rPr>
        <w:t>, so that they do not assume skin sloughing off is a normal side effect.</w:t>
      </w:r>
    </w:p>
    <w:p>
      <w:pPr>
        <w:pStyle w:val="ListBullet"/>
        <w:spacing w:after="40"/>
      </w:pPr>
      <w:r>
        <w:rPr>
          <w:b/>
          <w:i w:val="0"/>
          <w:sz w:val="20"/>
        </w:rPr>
        <w:t>Commons</w:t>
      </w:r>
      <w:r>
        <w:rPr>
          <w:b w:val="0"/>
          <w:i w:val="0"/>
          <w:sz w:val="20"/>
        </w:rPr>
        <w:t xml:space="preserve"> — what actually happens often. His example: </w:t>
      </w:r>
      <w:r>
        <w:rPr>
          <w:b/>
          <w:i w:val="0"/>
          <w:sz w:val="20"/>
        </w:rPr>
        <w:t>gastrointestinal upset with antibiotics</w:t>
      </w:r>
      <w:r>
        <w:rPr>
          <w:b w:val="0"/>
          <w:i w:val="0"/>
          <w:sz w:val="20"/>
        </w:rPr>
        <w:t>. Almost every antibiotic causes nausea, vomiting or diarrhea in somebody. The patient is told these are expected; they may or may not warrant a change of therapy.</w:t>
      </w:r>
    </w:p>
    <w:p>
      <w:pPr>
        <w:pStyle w:val="ListBullet"/>
        <w:spacing w:after="40"/>
      </w:pPr>
      <w:r>
        <w:rPr>
          <w:b/>
          <w:i w:val="0"/>
          <w:sz w:val="20"/>
        </w:rPr>
        <w:t>Zebras</w:t>
      </w:r>
      <w:r>
        <w:rPr>
          <w:b w:val="0"/>
          <w:i w:val="0"/>
          <w:sz w:val="20"/>
        </w:rPr>
        <w:t xml:space="preserve"> — the rare ones.</w:t>
      </w:r>
    </w:p>
    <w:p>
      <w:pPr>
        <w:pStyle w:val="Heading1"/>
        <w:spacing w:before="280" w:after="100"/>
      </w:pPr>
      <w:r>
        <w:rPr>
          <w:rFonts w:ascii="Georgia" w:hAnsi="Georgia"/>
          <w:color w:val="6B3524"/>
        </w:rPr>
        <w:t>Succinylcholine: flaccid paralysis is PHASE TWO</w:t>
      </w:r>
    </w:p>
    <w:p>
      <w:pPr>
        <w:spacing w:after="120"/>
      </w:pPr>
      <w:r>
        <w:rPr>
          <w:b/>
          <w:i w:val="0"/>
        </w:rPr>
        <w:t>Asked:</w:t>
      </w:r>
      <w:r>
        <w:rPr>
          <w:b w:val="0"/>
          <w:i w:val="0"/>
        </w:rPr>
        <w:t xml:space="preserve"> “Does flaccid paralysis happen in phase one or phase two of the depolarizing agents?”</w:t>
      </w:r>
    </w:p>
    <w:p>
      <w:pPr>
        <w:spacing w:after="120"/>
        <w:ind w:left="432"/>
      </w:pPr>
      <w:r>
        <w:rPr>
          <w:b w:val="0"/>
          <w:i w:val="0"/>
        </w:rPr>
        <w:t>“So that would be in phase two”</w:t>
      </w:r>
      <w:r>
        <w:rPr>
          <w:b w:val="0"/>
          <w:i w:val="0"/>
        </w:rPr>
        <w:t xml:space="preserve">Dr. Wood · Exam review session, 3 September · </w:t>
      </w:r>
      <w:r>
        <w:rPr>
          <w:b w:val="0"/>
          <w:i w:val="0"/>
        </w:rPr>
        <w:t>2:34</w:t>
      </w:r>
    </w:p>
    <w:p>
      <w:pPr>
        <w:spacing w:after="120"/>
      </w:pPr>
      <w:r>
        <w:rPr>
          <w:b w:val="0"/>
          <w:i w:val="0"/>
        </w:rPr>
        <w:t xml:space="preserve">Succinylcholine is </w:t>
      </w:r>
      <w:r>
        <w:rPr>
          <w:b/>
          <w:i w:val="0"/>
        </w:rPr>
        <w:t>two acetylcholine molecules joined together</w:t>
      </w:r>
      <w:r>
        <w:rPr>
          <w:b w:val="0"/>
          <w:i w:val="0"/>
        </w:rPr>
        <w:t xml:space="preserve">. In </w:t>
      </w:r>
      <w:r>
        <w:rPr>
          <w:b/>
          <w:i w:val="0"/>
        </w:rPr>
        <w:t>phase one</w:t>
      </w:r>
      <w:r>
        <w:rPr>
          <w:b w:val="0"/>
          <w:i w:val="0"/>
        </w:rPr>
        <w:t xml:space="preserve"> it activates the nicotinic receptor at the neuromuscular end plate and depolarizes it — which is what produces the </w:t>
      </w:r>
      <w:r>
        <w:rPr>
          <w:b/>
          <w:i w:val="0"/>
        </w:rPr>
        <w:t>fasciculations</w:t>
      </w:r>
      <w:r>
        <w:rPr>
          <w:b w:val="0"/>
          <w:i w:val="0"/>
        </w:rPr>
        <w:t xml:space="preserve">, and what makes it a </w:t>
      </w:r>
      <w:r>
        <w:rPr>
          <w:b w:val="0"/>
          <w:i/>
        </w:rPr>
        <w:t>depolarizing</w:t>
      </w:r>
      <w:r>
        <w:rPr>
          <w:b w:val="0"/>
          <w:i w:val="0"/>
        </w:rPr>
        <w:t xml:space="preserve"> agent. It then keeps sitting on the receptor until the receptor </w:t>
      </w:r>
      <w:r>
        <w:rPr>
          <w:b/>
          <w:i w:val="0"/>
        </w:rPr>
        <w:t>desensitizes</w:t>
      </w:r>
      <w:r>
        <w:rPr>
          <w:b w:val="0"/>
          <w:i w:val="0"/>
        </w:rPr>
        <w:t xml:space="preserve"> from being over-activated, and that is </w:t>
      </w:r>
      <w:r>
        <w:rPr>
          <w:b/>
          <w:i w:val="0"/>
        </w:rPr>
        <w:t>phase two</w:t>
      </w:r>
      <w:r>
        <w:rPr>
          <w:b w:val="0"/>
          <w:i w:val="0"/>
        </w:rPr>
        <w:t xml:space="preserve">, when the </w:t>
      </w:r>
      <w:r>
        <w:rPr>
          <w:b/>
          <w:i w:val="0"/>
        </w:rPr>
        <w:t>flaccid paralysis</w:t>
      </w:r>
      <w:r>
        <w:rPr>
          <w:b w:val="0"/>
          <w:i w:val="0"/>
        </w:rPr>
        <w:t xml:space="preserve"> appears.</w:t>
      </w:r>
    </w:p>
    <w:p>
      <w:pPr>
        <w:spacing w:after="120"/>
      </w:pPr>
      <w:r>
        <w:rPr>
          <w:b/>
          <w:i w:val="0"/>
        </w:rPr>
        <w:t>His mnemonic, back from the autonomic lecture:</w:t>
      </w:r>
      <w:r>
        <w:rPr>
          <w:b w:val="0"/>
          <w:i w:val="0"/>
        </w:rPr>
        <w:t xml:space="preserve"> the days of the week — </w:t>
      </w:r>
      <w:r>
        <w:rPr>
          <w:b/>
          <w:i w:val="0"/>
        </w:rPr>
        <w:t>F</w:t>
      </w:r>
      <w:r>
        <w:rPr>
          <w:b w:val="0"/>
          <w:i w:val="0"/>
        </w:rPr>
        <w:t xml:space="preserve">riday for </w:t>
      </w:r>
      <w:r>
        <w:rPr>
          <w:b/>
          <w:i w:val="0"/>
        </w:rPr>
        <w:t>f</w:t>
      </w:r>
      <w:r>
        <w:rPr>
          <w:b w:val="0"/>
          <w:i w:val="0"/>
        </w:rPr>
        <w:t xml:space="preserve">asciculations first, then </w:t>
      </w:r>
      <w:r>
        <w:rPr>
          <w:b/>
          <w:i w:val="0"/>
        </w:rPr>
        <w:t>W</w:t>
      </w:r>
      <w:r>
        <w:rPr>
          <w:b w:val="0"/>
          <w:i w:val="0"/>
        </w:rPr>
        <w:t xml:space="preserve">ednesday for </w:t>
      </w:r>
      <w:r>
        <w:rPr>
          <w:b/>
          <w:i w:val="0"/>
        </w:rPr>
        <w:t>w</w:t>
      </w:r>
      <w:r>
        <w:rPr>
          <w:b w:val="0"/>
          <w:i w:val="0"/>
        </w:rPr>
        <w:t>eakness. Fasciculations come first because they are phase one; the weakness, and then the paralysis, is phase two.</w:t>
      </w:r>
    </w:p>
    <w:p>
      <w:pPr>
        <w:pStyle w:val="Heading1"/>
        <w:spacing w:before="280" w:after="100"/>
      </w:pPr>
      <w:r>
        <w:rPr>
          <w:rFonts w:ascii="Georgia" w:hAnsi="Georgia"/>
          <w:color w:val="6B3524"/>
        </w:rPr>
        <w:t>Why physostigmine, neostigmine and pyridostigmine are not interchangeable</w:t>
      </w:r>
    </w:p>
    <w:p>
      <w:pPr>
        <w:spacing w:after="120"/>
      </w:pPr>
      <w:r>
        <w:rPr>
          <w:b/>
          <w:i w:val="0"/>
        </w:rPr>
        <w:t>Asked:</w:t>
      </w:r>
      <w:r>
        <w:rPr>
          <w:b w:val="0"/>
          <w:i w:val="0"/>
        </w:rPr>
        <w:t xml:space="preserve"> “If they all inhibit acetylcholinesterase, why can't they be used interchangeably?”</w:t>
      </w:r>
    </w:p>
    <w:p>
      <w:pPr>
        <w:spacing w:after="120"/>
        <w:ind w:left="432"/>
      </w:pPr>
      <w:r>
        <w:rPr>
          <w:b w:val="0"/>
          <w:i w:val="0"/>
        </w:rPr>
        <w:t>“I need something that's able to get across the blood brain barrier and actually be able to treat the CNS effects there”</w:t>
      </w:r>
      <w:r>
        <w:rPr>
          <w:b w:val="0"/>
          <w:i w:val="0"/>
        </w:rPr>
        <w:t xml:space="preserve">Dr. Wood · Exam review session, 3 September · </w:t>
      </w:r>
      <w:r>
        <w:rPr>
          <w:b w:val="0"/>
          <w:i w:val="0"/>
        </w:rPr>
        <w:t>6:10</w:t>
      </w:r>
    </w:p>
    <w:p>
      <w:pPr>
        <w:spacing w:after="120"/>
      </w:pPr>
      <w:r>
        <w:rPr>
          <w:b/>
          <w:i w:val="0"/>
        </w:rPr>
        <w:t>The real axis is whether the drug crosses into the brain.</w:t>
      </w:r>
    </w:p>
    <w:p>
      <w:pPr>
        <w:pStyle w:val="ListBullet"/>
        <w:spacing w:after="40"/>
      </w:pPr>
      <w:r>
        <w:rPr>
          <w:b/>
          <w:i w:val="0"/>
          <w:sz w:val="20"/>
        </w:rPr>
        <w:t>Physostigmine</w:t>
      </w:r>
      <w:r>
        <w:rPr>
          <w:b w:val="0"/>
          <w:i w:val="0"/>
          <w:sz w:val="20"/>
        </w:rPr>
        <w:t xml:space="preserve"> crosses the blood–brain barrier, so it is the one for </w:t>
      </w:r>
      <w:r>
        <w:rPr>
          <w:b/>
          <w:i w:val="0"/>
          <w:sz w:val="20"/>
        </w:rPr>
        <w:t>anticholinergic overdose</w:t>
      </w:r>
      <w:r>
        <w:rPr>
          <w:b w:val="0"/>
          <w:i w:val="0"/>
          <w:sz w:val="20"/>
        </w:rPr>
        <w:t xml:space="preserve"> where the problem is central toxicity. He tied this to the anticholinergic toxidrome and the </w:t>
      </w:r>
      <w:r>
        <w:rPr>
          <w:b/>
          <w:i w:val="0"/>
          <w:sz w:val="20"/>
        </w:rPr>
        <w:t>Mad Hatter</w:t>
      </w:r>
      <w:r>
        <w:rPr>
          <w:b w:val="0"/>
          <w:i w:val="0"/>
          <w:sz w:val="20"/>
        </w:rPr>
        <w:t xml:space="preserve"> mnemonic: mild sedation, then anxiety, hallucinations and agitation, with </w:t>
      </w:r>
      <w:r>
        <w:rPr>
          <w:b/>
          <w:i w:val="0"/>
          <w:sz w:val="20"/>
        </w:rPr>
        <w:t>seizures as the end point</w:t>
      </w:r>
      <w:r>
        <w:rPr>
          <w:b w:val="0"/>
          <w:i w:val="0"/>
          <w:sz w:val="20"/>
        </w:rPr>
        <w:t xml:space="preserve"> of central toxicity.</w:t>
      </w:r>
    </w:p>
    <w:p>
      <w:pPr>
        <w:pStyle w:val="ListBullet"/>
        <w:spacing w:after="40"/>
      </w:pPr>
      <w:r>
        <w:rPr>
          <w:b/>
          <w:i w:val="0"/>
          <w:sz w:val="20"/>
        </w:rPr>
        <w:t>Neostigmine</w:t>
      </w:r>
      <w:r>
        <w:rPr>
          <w:b w:val="0"/>
          <w:i w:val="0"/>
          <w:sz w:val="20"/>
        </w:rPr>
        <w:t xml:space="preserve"> and </w:t>
      </w:r>
      <w:r>
        <w:rPr>
          <w:b/>
          <w:i w:val="0"/>
          <w:sz w:val="20"/>
        </w:rPr>
        <w:t>pyridostigmine</w:t>
      </w:r>
      <w:r>
        <w:rPr>
          <w:b w:val="0"/>
          <w:i w:val="0"/>
          <w:sz w:val="20"/>
        </w:rPr>
        <w:t xml:space="preserve"> cross less easily and act </w:t>
      </w:r>
      <w:r>
        <w:rPr>
          <w:b/>
          <w:i w:val="0"/>
          <w:sz w:val="20"/>
        </w:rPr>
        <w:t>peripherally</w:t>
      </w:r>
      <w:r>
        <w:rPr>
          <w:b w:val="0"/>
          <w:i w:val="0"/>
          <w:sz w:val="20"/>
        </w:rPr>
        <w:t>, on neuromuscular function.</w:t>
      </w:r>
    </w:p>
    <w:p>
      <w:pPr>
        <w:spacing w:after="120"/>
      </w:pPr>
      <w:r>
        <w:rPr>
          <w:b/>
          <w:i w:val="0"/>
        </w:rPr>
        <w:t>Neostigmine in surgery</w:t>
      </w:r>
      <w:r>
        <w:rPr>
          <w:b w:val="0"/>
          <w:i w:val="0"/>
        </w:rPr>
        <w:t xml:space="preserve"> is his worked example. Rocuronium and vecuronium are </w:t>
      </w:r>
      <w:r>
        <w:rPr>
          <w:b/>
          <w:i w:val="0"/>
        </w:rPr>
        <w:t>non-depolarizing</w:t>
      </w:r>
      <w:r>
        <w:rPr>
          <w:b w:val="0"/>
          <w:i w:val="0"/>
        </w:rPr>
        <w:t xml:space="preserve"> blockers — they sit on the nicotinic receptor and keep acetylcholine off it, which paralyses the patient. Neostigmine blocks acetylcholinesterase, acetylcholine builds up, </w:t>
      </w:r>
      <w:r>
        <w:rPr>
          <w:b/>
          <w:i w:val="0"/>
        </w:rPr>
        <w:t>outcompetes</w:t>
      </w:r>
      <w:r>
        <w:rPr>
          <w:b w:val="0"/>
          <w:i w:val="0"/>
        </w:rPr>
        <w:t xml:space="preserve"> the blocker and knocks it off the receptor, and neuromuscular function returns so the patient breathes for themselves.</w:t>
      </w:r>
    </w:p>
    <w:p>
      <w:pPr>
        <w:spacing w:after="120"/>
      </w:pPr>
      <w:r>
        <w:rPr>
          <w:b/>
          <w:i w:val="0"/>
        </w:rPr>
        <w:t>And an honest caveat he added:</w:t>
      </w:r>
      <w:r>
        <w:rPr>
          <w:b w:val="0"/>
          <w:i w:val="0"/>
        </w:rPr>
        <w:t xml:space="preserve"> some of the choice is not pharmacology at all. A myasthenia clinic may simply prefer pyridostigmine. He called it </w:t>
      </w:r>
      <w:r>
        <w:rPr>
          <w:b/>
          <w:i w:val="0"/>
        </w:rPr>
        <w:t>clinical inertia</w:t>
      </w:r>
      <w:r>
        <w:rPr>
          <w:b w:val="0"/>
          <w:i w:val="0"/>
        </w:rPr>
        <w:t xml:space="preserve"> — </w:t>
      </w:r>
      <w:r>
        <w:rPr>
          <w:b w:val="0"/>
          <w:i/>
        </w:rPr>
        <w:t>“this was how I was trained”</w:t>
      </w:r>
      <w:r>
        <w:rPr>
          <w:b w:val="0"/>
          <w:i w:val="0"/>
        </w:rPr>
        <w:t xml:space="preserve"> — and said there is often no concrete reason.</w:t>
      </w:r>
    </w:p>
    <w:p>
      <w:pPr>
        <w:pStyle w:val="Heading1"/>
        <w:spacing w:before="280" w:after="100"/>
      </w:pPr>
      <w:r>
        <w:rPr>
          <w:rFonts w:ascii="Georgia" w:hAnsi="Georgia"/>
          <w:color w:val="6B3524"/>
        </w:rPr>
        <w:t>Polyenes, azoles and allylamines: the difference in one line each</w:t>
      </w:r>
    </w:p>
    <w:p>
      <w:pPr>
        <w:spacing w:after="120"/>
      </w:pPr>
      <w:r>
        <w:rPr>
          <w:b/>
          <w:i w:val="0"/>
        </w:rPr>
        <w:t>Asked:</w:t>
      </w:r>
      <w:r>
        <w:rPr>
          <w:b w:val="0"/>
          <w:i w:val="0"/>
        </w:rPr>
        <w:t xml:space="preserve"> “What is the difference in mechanism between the polyenes, azoles and allylamines?”</w:t>
      </w:r>
    </w:p>
    <w:p>
      <w:pPr>
        <w:spacing w:after="120"/>
        <w:ind w:left="432"/>
      </w:pPr>
      <w:r>
        <w:rPr>
          <w:b w:val="0"/>
          <w:i w:val="0"/>
        </w:rPr>
        <w:t>“With the polyenes, for example, those are more so like kind of poking holes in the actual membrane itself to cause like leakage of contents”</w:t>
      </w:r>
      <w:r>
        <w:rPr>
          <w:b w:val="0"/>
          <w:i w:val="0"/>
        </w:rPr>
        <w:t xml:space="preserve">Dr. Wood · Exam review session, 3 September · </w:t>
      </w:r>
      <w:r>
        <w:rPr>
          <w:b w:val="0"/>
          <w:i w:val="0"/>
        </w:rPr>
        <w:t>8:40</w:t>
      </w:r>
    </w:p>
    <w:p>
      <w:pPr>
        <w:pStyle w:val="ListBullet"/>
        <w:spacing w:after="40"/>
      </w:pPr>
      <w:r>
        <w:rPr>
          <w:b/>
          <w:i w:val="0"/>
          <w:sz w:val="20"/>
        </w:rPr>
        <w:t>Polyenes</w:t>
      </w:r>
      <w:r>
        <w:rPr>
          <w:b w:val="0"/>
          <w:i w:val="0"/>
          <w:sz w:val="20"/>
        </w:rPr>
        <w:t xml:space="preserve"> — punch holes in the membrane itself, so the cell's contents leak out.</w:t>
      </w:r>
    </w:p>
    <w:p>
      <w:pPr>
        <w:pStyle w:val="ListBullet"/>
        <w:spacing w:after="40"/>
      </w:pPr>
      <w:r>
        <w:rPr>
          <w:b/>
          <w:i w:val="0"/>
          <w:sz w:val="20"/>
        </w:rPr>
        <w:t>Azoles</w:t>
      </w:r>
      <w:r>
        <w:rPr>
          <w:b w:val="0"/>
          <w:i w:val="0"/>
          <w:sz w:val="20"/>
        </w:rPr>
        <w:t xml:space="preserve"> — block the fungal enzyme that makes ergosterol. His own memory hook: </w:t>
      </w:r>
      <w:r>
        <w:rPr>
          <w:b/>
          <w:i w:val="0"/>
          <w:sz w:val="20"/>
        </w:rPr>
        <w:t>azoles cause a great many CYP3A4 interactions</w:t>
      </w:r>
      <w:r>
        <w:rPr>
          <w:b w:val="0"/>
          <w:i w:val="0"/>
          <w:sz w:val="20"/>
        </w:rPr>
        <w:t>, so remember that azoles block a CYP enzyme — in the fungus, that is the one making ergosterol.</w:t>
      </w:r>
    </w:p>
    <w:p>
      <w:pPr>
        <w:pStyle w:val="ListBullet"/>
        <w:spacing w:after="40"/>
      </w:pPr>
      <w:r>
        <w:rPr>
          <w:b/>
          <w:i w:val="0"/>
          <w:sz w:val="20"/>
        </w:rPr>
        <w:t>Allylamines</w:t>
      </w:r>
      <w:r>
        <w:rPr>
          <w:b w:val="0"/>
          <w:i w:val="0"/>
          <w:sz w:val="20"/>
        </w:rPr>
        <w:t xml:space="preserve"> — also reduce ergosterol synthesis, at a different step.</w:t>
      </w:r>
    </w:p>
    <w:p>
      <w:pPr>
        <w:spacing w:after="120"/>
      </w:pPr>
      <w:r>
        <w:rPr>
          <w:b/>
          <w:i w:val="0"/>
        </w:rPr>
        <w:t>He said the shared endpoint is enough:</w:t>
      </w:r>
      <w:r>
        <w:rPr>
          <w:b w:val="0"/>
          <w:i w:val="0"/>
        </w:rPr>
        <w:t xml:space="preserve"> ergosterol synthesis is inhibited, the membrane stops working, the cell dies.</w:t>
      </w:r>
    </w:p>
    <w:p>
      <w:pPr>
        <w:spacing w:after="120"/>
      </w:pPr>
      <w:r>
        <w:rPr>
          <w:b w:val="0"/>
          <w:i w:val="0"/>
        </w:rPr>
        <w:t xml:space="preserve"> Every quote is verified verbatim against the review recording by </w:t>
      </w:r>
      <w:r>
        <w:rPr>
          <w:rFonts w:ascii="Consolas" w:hAnsi="Consolas"/>
          <w:b w:val="0"/>
          <w:i w:val="0"/>
          <w:sz w:val="18"/>
        </w:rPr>
        <w:t>tools/check_pharm_review.py</w:t>
      </w:r>
      <w:r>
        <w:rPr>
          <w:b w:val="0"/>
          <w:i w:val="0"/>
        </w:rPr>
        <w:t xml:space="preserve"> before this page is written. The recording stays on the course owner's machine and is never copied into this repo.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