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6B3524"/>
        </w:rPr>
        <w:t>Acute Coronary Syndrome Drugs Compared</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spacing w:after="120"/>
      </w:pPr>
      <w:r>
        <w:rPr>
          <w:b w:val="0"/>
          <w:i w:val="0"/>
        </w:rPr>
        <w:t>Pharmacology I · Exam 2 · Class of 2028</w:t>
      </w:r>
    </w:p>
    <w:p>
      <w:pPr>
        <w:spacing w:after="120"/>
      </w:pPr>
      <w:r>
        <w:rPr>
          <w:b w:val="0"/>
          <w:i w:val="0"/>
        </w:rPr>
        <w:t>What each drug given for an acute coronary syndrome does, when it is used, whether it is for ST-elevation myocardial infarction or non-ST-elevation disease, and its key cautions.</w:t>
      </w:r>
    </w:p>
    <w:p>
      <w:pPr>
        <w:pStyle w:val="Heading1"/>
        <w:spacing w:before="280" w:after="100"/>
      </w:pPr>
      <w:r>
        <w:rPr>
          <w:rFonts w:ascii="Georgia" w:hAnsi="Georgia"/>
          <w:color w:val="6B3524"/>
        </w:rPr>
        <w:t>Lecture 8 — Myocardial Ischemia Drug Therapy 12 rows</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Three wording flags.</w:t>
            </w:r>
            <w:r>
              <w:rPr>
                <w:b w:val="0"/>
                <w:i w:val="0"/>
              </w:rPr>
              <w:t xml:space="preserve"> (1) An older source says reteplase and tenecteplase have increased fibrin affinity; that is true of </w:t>
            </w:r>
            <w:r>
              <w:rPr>
                <w:b/>
                <w:i w:val="0"/>
              </w:rPr>
              <w:t>tenecteplase</w:t>
            </w:r>
            <w:r>
              <w:rPr>
                <w:b w:val="0"/>
                <w:i w:val="0"/>
              </w:rPr>
              <w:t xml:space="preserve"> but </w:t>
            </w:r>
            <w:r>
              <w:rPr>
                <w:b/>
                <w:i w:val="0"/>
              </w:rPr>
              <w:t>not of reteplase</w:t>
            </w:r>
            <w:r>
              <w:rPr>
                <w:b w:val="0"/>
                <w:i w:val="0"/>
              </w:rPr>
              <w:t xml:space="preserve">, so it is stated for tenecteplase only. (2) It says fever, chills and rash occur mainly with streptokinase </w:t>
            </w:r>
            <w:r>
              <w:rPr>
                <w:b/>
                <w:i w:val="0"/>
              </w:rPr>
              <w:t>and urokinase</w:t>
            </w:r>
            <w:r>
              <w:rPr>
                <w:b w:val="0"/>
                <w:i w:val="0"/>
              </w:rPr>
              <w:t xml:space="preserve">; only </w:t>
            </w:r>
            <w:r>
              <w:rPr>
                <w:b/>
                <w:i w:val="0"/>
              </w:rPr>
              <w:t>streptokinase</w:t>
            </w:r>
            <w:r>
              <w:rPr>
                <w:b w:val="0"/>
                <w:i w:val="0"/>
              </w:rPr>
              <w:t xml:space="preserve"> is treated as the antigenic agent here. (3) Its age, time and bleeding-rate numbers for fibrinolytics and the aspirin amount are left out because doses and percentages are not tested; know the qualitative points (fibrinolytics are for ST-elevation myocardial infarction and not for non-ST-elevation disease; bleeding including intracranial hemorrhage is the main risk). The fibrinolytic rows also simplify “activate only fibrin-bound plasminogen”: alteplase and tenecteplase are fibrin-selective, reteplase less so. </w:t>
            </w:r>
            <w:r>
              <w:rPr>
                <w:b/>
                <w:i w:val="0"/>
              </w:rPr>
              <w:t>Two more flags:</w:t>
            </w:r>
            <w:r>
              <w:rPr>
                <w:b w:val="0"/>
                <w:i w:val="0"/>
              </w:rPr>
              <w:t xml:space="preserve"> beta blockers in acute infarction are kept as the course teaches them, intravenous then oral with an early and late mortality benefit; that comes from older trials, and current practice favors oral therapy in the first day, avoids the intravenous route with heart failure or shock risk and rests the benefit mainly on long-term use; and the fibrinolytic contraindication list is the older one, which current guidelines split into absolute and relative items.</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424"/>
        <w:gridCol w:w="2424"/>
        <w:gridCol w:w="2424"/>
        <w:gridCol w:w="2424"/>
        <w:gridCol w:w="2424"/>
        <w:gridCol w:w="2424"/>
      </w:tblGrid>
      <w:tr>
        <w:tc>
          <w:tcPr>
            <w:tcW w:type="dxa" w:w="2424"/>
            <w:shd w:val="clear" w:color="auto" w:fill="6B3524"/>
          </w:tcPr>
          <w:p>
            <w:pPr>
              <w:spacing w:after="40"/>
            </w:pPr>
            <w:r>
              <w:rPr>
                <w:b/>
                <w:color w:val="FFFFFF"/>
                <w:sz w:val="18"/>
              </w:rPr>
            </w:r>
            <w:r>
              <w:rPr>
                <w:b/>
                <w:i w:val="0"/>
                <w:color w:val="FFFFFF"/>
                <w:sz w:val="18"/>
              </w:rPr>
              <w:t>Drug or class</w:t>
            </w:r>
          </w:p>
        </w:tc>
        <w:tc>
          <w:tcPr>
            <w:tcW w:type="dxa" w:w="2424"/>
            <w:shd w:val="clear" w:color="auto" w:fill="6B3524"/>
          </w:tcPr>
          <w:p>
            <w:pPr>
              <w:spacing w:after="40"/>
            </w:pPr>
            <w:r>
              <w:rPr>
                <w:b/>
                <w:color w:val="FFFFFF"/>
                <w:sz w:val="18"/>
              </w:rPr>
            </w:r>
            <w:r>
              <w:rPr>
                <w:b/>
                <w:i w:val="0"/>
                <w:color w:val="FFFFFF"/>
                <w:sz w:val="18"/>
              </w:rPr>
              <w:t>What it does</w:t>
            </w:r>
          </w:p>
        </w:tc>
        <w:tc>
          <w:tcPr>
            <w:tcW w:type="dxa" w:w="2424"/>
            <w:shd w:val="clear" w:color="auto" w:fill="6B3524"/>
          </w:tcPr>
          <w:p>
            <w:pPr>
              <w:spacing w:after="40"/>
            </w:pPr>
            <w:r>
              <w:rPr>
                <w:b/>
                <w:color w:val="FFFFFF"/>
                <w:sz w:val="18"/>
              </w:rPr>
            </w:r>
            <w:r>
              <w:rPr>
                <w:b/>
                <w:i w:val="0"/>
                <w:color w:val="FFFFFF"/>
                <w:sz w:val="18"/>
              </w:rPr>
              <w:t>Benefit and when it is used</w:t>
            </w:r>
          </w:p>
        </w:tc>
        <w:tc>
          <w:tcPr>
            <w:tcW w:type="dxa" w:w="2424"/>
            <w:shd w:val="clear" w:color="auto" w:fill="6B3524"/>
          </w:tcPr>
          <w:p>
            <w:pPr>
              <w:spacing w:after="40"/>
            </w:pPr>
            <w:r>
              <w:rPr>
                <w:b/>
                <w:color w:val="FFFFFF"/>
                <w:sz w:val="18"/>
              </w:rPr>
            </w:r>
            <w:r>
              <w:rPr>
                <w:b/>
                <w:i w:val="0"/>
                <w:color w:val="FFFFFF"/>
                <w:sz w:val="18"/>
              </w:rPr>
              <w:t>ST-elevation myocardial infarction versus non-ST-elevation acute coronary syndrome</w:t>
            </w:r>
          </w:p>
        </w:tc>
        <w:tc>
          <w:tcPr>
            <w:tcW w:type="dxa" w:w="2424"/>
            <w:shd w:val="clear" w:color="auto" w:fill="6B3524"/>
          </w:tcPr>
          <w:p>
            <w:pPr>
              <w:spacing w:after="40"/>
            </w:pPr>
            <w:r>
              <w:rPr>
                <w:b/>
                <w:color w:val="FFFFFF"/>
                <w:sz w:val="18"/>
              </w:rPr>
            </w:r>
            <w:r>
              <w:rPr>
                <w:b/>
                <w:i w:val="0"/>
                <w:color w:val="FFFFFF"/>
                <w:sz w:val="18"/>
              </w:rPr>
              <w:t>Key cautions and contraindications</w:t>
            </w:r>
          </w:p>
        </w:tc>
        <w:tc>
          <w:tcPr>
            <w:tcW w:type="dxa" w:w="2424"/>
            <w:shd w:val="clear" w:color="auto" w:fill="6B3524"/>
          </w:tcPr>
          <w:p>
            <w:pPr>
              <w:spacing w:after="40"/>
            </w:pPr>
            <w:r>
              <w:rPr>
                <w:b/>
                <w:color w:val="FFFFFF"/>
                <w:sz w:val="18"/>
              </w:rPr>
            </w:r>
            <w:r>
              <w:rPr>
                <w:b/>
                <w:i w:val="0"/>
                <w:color w:val="FFFFFF"/>
                <w:sz w:val="18"/>
              </w:rPr>
              <w:t>Source</w:t>
            </w:r>
          </w:p>
        </w:tc>
      </w:tr>
      <w:tr>
        <w:tc>
          <w:tcPr>
            <w:tcW w:type="dxa" w:w="2424"/>
          </w:tcPr>
          <w:p>
            <w:pPr>
              <w:spacing w:after="40"/>
            </w:pPr>
            <w:r>
              <w:rPr>
                <w:sz w:val="18"/>
              </w:rPr>
            </w:r>
            <w:r>
              <w:rPr>
                <w:b/>
                <w:i w:val="0"/>
                <w:sz w:val="18"/>
              </w:rPr>
              <w:t>Aspirin</w:t>
            </w:r>
            <w:r>
              <w:rPr>
                <w:sz w:val="18"/>
              </w:rPr>
              <w:br/>
            </w:r>
            <w:r>
              <w:rPr>
                <w:b w:val="0"/>
                <w:i w:val="0"/>
                <w:sz w:val="18"/>
              </w:rPr>
              <w:t>antiplatelet</w:t>
            </w:r>
          </w:p>
        </w:tc>
        <w:tc>
          <w:tcPr>
            <w:tcW w:type="dxa" w:w="2424"/>
          </w:tcPr>
          <w:p>
            <w:pPr>
              <w:spacing w:after="40"/>
            </w:pPr>
            <w:r>
              <w:rPr>
                <w:sz w:val="18"/>
              </w:rPr>
            </w:r>
            <w:r>
              <w:rPr>
                <w:b w:val="0"/>
                <w:i w:val="0"/>
                <w:sz w:val="18"/>
              </w:rPr>
              <w:t>Antiplatelet; chew and swallow at the first signs of chest pain.</w:t>
            </w:r>
          </w:p>
        </w:tc>
        <w:tc>
          <w:tcPr>
            <w:tcW w:type="dxa" w:w="2424"/>
          </w:tcPr>
          <w:p>
            <w:pPr>
              <w:spacing w:after="40"/>
            </w:pPr>
            <w:r>
              <w:rPr>
                <w:sz w:val="18"/>
              </w:rPr>
            </w:r>
            <w:r>
              <w:rPr>
                <w:b w:val="0"/>
                <w:i w:val="0"/>
                <w:sz w:val="18"/>
              </w:rPr>
              <w:t>Reduces mortality and reinfarction; decreases recurrent ischemia, stroke and cardiac death.</w:t>
            </w:r>
          </w:p>
        </w:tc>
        <w:tc>
          <w:tcPr>
            <w:tcW w:type="dxa" w:w="2424"/>
          </w:tcPr>
          <w:p>
            <w:pPr>
              <w:spacing w:after="40"/>
            </w:pPr>
            <w:r>
              <w:rPr>
                <w:sz w:val="18"/>
              </w:rPr>
            </w:r>
            <w:r>
              <w:rPr>
                <w:b w:val="0"/>
                <w:i w:val="0"/>
                <w:sz w:val="18"/>
              </w:rPr>
              <w:t>Both: common therapy for ST-elevation myocardial infarction and non-ST-elevation acute coronary syndrome.</w:t>
            </w:r>
          </w:p>
        </w:tc>
        <w:tc>
          <w:tcPr>
            <w:tcW w:type="dxa" w:w="2424"/>
          </w:tcPr>
          <w:p>
            <w:pPr>
              <w:spacing w:after="40"/>
            </w:pPr>
            <w:r>
              <w:rPr>
                <w:sz w:val="18"/>
              </w:rPr>
            </w:r>
            <w:r>
              <w:rPr>
                <w:b/>
                <w:i w:val="0"/>
                <w:sz w:val="18"/>
              </w:rPr>
              <w:t>Contraindications:</w:t>
            </w:r>
            <w:r>
              <w:rPr>
                <w:b w:val="0"/>
                <w:i w:val="0"/>
                <w:sz w:val="18"/>
              </w:rPr>
              <w:t xml:space="preserve"> allergy, recent gastrointestinal bleed, recent intracranial hemorrhage.</w:t>
            </w:r>
          </w:p>
        </w:tc>
        <w:tc>
          <w:tcPr>
            <w:tcW w:type="dxa" w:w="2424"/>
          </w:tcPr>
          <w:p>
            <w:pPr>
              <w:spacing w:after="40"/>
            </w:pPr>
            <w:r>
              <w:rPr>
                <w:sz w:val="18"/>
              </w:rPr>
            </w:r>
            <w:r>
              <w:rPr>
                <w:b w:val="0"/>
                <w:i w:val="0"/>
                <w:sz w:val="18"/>
              </w:rPr>
              <w:t>L8</w:t>
            </w:r>
            <w:r>
              <w:rPr>
                <w:sz w:val="18"/>
              </w:rPr>
              <w:br/>
            </w:r>
            <w:r>
              <w:rPr>
                <w:b w:val="0"/>
                <w:i w:val="0"/>
                <w:sz w:val="18"/>
              </w:rPr>
              <w:t>slide 52</w:t>
            </w:r>
            <w:r>
              <w:rPr>
                <w:sz w:val="18"/>
              </w:rPr>
              <w:br/>
            </w:r>
            <w:r>
              <w:rPr>
                <w:b w:val="0"/>
                <w:i w:val="0"/>
                <w:sz w:val="18"/>
              </w:rPr>
              <w:t>slide 53</w:t>
            </w:r>
            <w:r>
              <w:rPr>
                <w:sz w:val="18"/>
              </w:rPr>
              <w:br/>
            </w:r>
            <w:r>
              <w:rPr>
                <w:b w:val="0"/>
                <w:i w:val="0"/>
                <w:sz w:val="18"/>
              </w:rPr>
              <w:t>slide 37</w:t>
            </w:r>
          </w:p>
        </w:tc>
      </w:tr>
      <w:tr>
        <w:tc>
          <w:tcPr>
            <w:tcW w:type="dxa" w:w="2424"/>
          </w:tcPr>
          <w:p>
            <w:pPr>
              <w:spacing w:after="40"/>
            </w:pPr>
            <w:r>
              <w:rPr>
                <w:sz w:val="18"/>
              </w:rPr>
            </w:r>
            <w:r>
              <w:rPr>
                <w:b/>
                <w:i w:val="0"/>
                <w:sz w:val="18"/>
              </w:rPr>
              <w:t>Nitrates</w:t>
            </w:r>
            <w:r>
              <w:rPr>
                <w:sz w:val="18"/>
              </w:rPr>
              <w:br/>
            </w:r>
            <w:r>
              <w:rPr>
                <w:b w:val="0"/>
                <w:i w:val="0"/>
                <w:sz w:val="18"/>
              </w:rPr>
              <w:t>nitroglycerin</w:t>
            </w:r>
          </w:p>
        </w:tc>
        <w:tc>
          <w:tcPr>
            <w:tcW w:type="dxa" w:w="2424"/>
          </w:tcPr>
          <w:p>
            <w:pPr>
              <w:spacing w:after="40"/>
            </w:pPr>
            <w:r>
              <w:rPr>
                <w:sz w:val="18"/>
              </w:rPr>
            </w:r>
            <w:r>
              <w:rPr>
                <w:b w:val="0"/>
                <w:i w:val="0"/>
                <w:sz w:val="18"/>
              </w:rPr>
              <w:t>Vasodilator; sublingual until the patient is in hospital, then an intravenous infusion.</w:t>
            </w:r>
          </w:p>
        </w:tc>
        <w:tc>
          <w:tcPr>
            <w:tcW w:type="dxa" w:w="2424"/>
          </w:tcPr>
          <w:p>
            <w:pPr>
              <w:spacing w:after="40"/>
            </w:pPr>
            <w:r>
              <w:rPr>
                <w:sz w:val="18"/>
              </w:rPr>
            </w:r>
            <w:r>
              <w:rPr>
                <w:b/>
                <w:i w:val="0"/>
                <w:sz w:val="18"/>
              </w:rPr>
              <w:t>Relief of chest pain only; no mortality benefit.</w:t>
            </w:r>
          </w:p>
        </w:tc>
        <w:tc>
          <w:tcPr>
            <w:tcW w:type="dxa" w:w="2424"/>
          </w:tcPr>
          <w:p>
            <w:pPr>
              <w:spacing w:after="40"/>
            </w:pPr>
            <w:r>
              <w:rPr>
                <w:sz w:val="18"/>
              </w:rPr>
            </w:r>
            <w:r>
              <w:rPr>
                <w:b w:val="0"/>
                <w:i w:val="0"/>
                <w:sz w:val="18"/>
              </w:rPr>
              <w:t>Both.</w:t>
            </w:r>
          </w:p>
        </w:tc>
        <w:tc>
          <w:tcPr>
            <w:tcW w:type="dxa" w:w="2424"/>
          </w:tcPr>
          <w:p>
            <w:pPr>
              <w:spacing w:after="40"/>
            </w:pPr>
            <w:r>
              <w:rPr>
                <w:sz w:val="18"/>
              </w:rPr>
            </w:r>
            <w:r>
              <w:rPr>
                <w:b w:val="0"/>
                <w:i w:val="0"/>
                <w:sz w:val="18"/>
              </w:rPr>
              <w:t xml:space="preserve">Adverse reactions: hypotension, headache, reflex tachycardia. </w:t>
            </w:r>
            <w:r>
              <w:rPr>
                <w:b/>
                <w:i w:val="0"/>
                <w:sz w:val="18"/>
              </w:rPr>
              <w:t>Contraindicated:</w:t>
            </w:r>
            <w:r>
              <w:rPr>
                <w:b w:val="0"/>
                <w:i w:val="0"/>
                <w:sz w:val="18"/>
              </w:rPr>
              <w:t xml:space="preserve"> hypotension and phosphodiesterase inhibitors.</w:t>
            </w:r>
          </w:p>
        </w:tc>
        <w:tc>
          <w:tcPr>
            <w:tcW w:type="dxa" w:w="2424"/>
          </w:tcPr>
          <w:p>
            <w:pPr>
              <w:spacing w:after="40"/>
            </w:pPr>
            <w:r>
              <w:rPr>
                <w:sz w:val="18"/>
              </w:rPr>
            </w:r>
            <w:r>
              <w:rPr>
                <w:b w:val="0"/>
                <w:i w:val="0"/>
                <w:sz w:val="18"/>
              </w:rPr>
              <w:t>L8</w:t>
            </w:r>
            <w:r>
              <w:rPr>
                <w:sz w:val="18"/>
              </w:rPr>
              <w:br/>
            </w:r>
            <w:r>
              <w:rPr>
                <w:b w:val="0"/>
                <w:i w:val="0"/>
                <w:sz w:val="18"/>
              </w:rPr>
              <w:t>slide 54</w:t>
            </w:r>
            <w:r>
              <w:rPr>
                <w:sz w:val="18"/>
              </w:rPr>
              <w:br/>
            </w:r>
            <w:r>
              <w:rPr>
                <w:b w:val="0"/>
                <w:i w:val="0"/>
                <w:sz w:val="18"/>
              </w:rPr>
              <w:t>slide 52</w:t>
            </w:r>
          </w:p>
        </w:tc>
      </w:tr>
      <w:tr>
        <w:tc>
          <w:tcPr>
            <w:tcW w:type="dxa" w:w="2424"/>
          </w:tcPr>
          <w:p>
            <w:pPr>
              <w:spacing w:after="40"/>
            </w:pPr>
            <w:r>
              <w:rPr>
                <w:sz w:val="18"/>
              </w:rPr>
            </w:r>
            <w:r>
              <w:rPr>
                <w:b/>
                <w:i w:val="0"/>
                <w:sz w:val="18"/>
              </w:rPr>
              <w:t>Beta blockers</w:t>
            </w:r>
          </w:p>
        </w:tc>
        <w:tc>
          <w:tcPr>
            <w:tcW w:type="dxa" w:w="2424"/>
          </w:tcPr>
          <w:p>
            <w:pPr>
              <w:spacing w:after="40"/>
            </w:pPr>
            <w:r>
              <w:rPr>
                <w:sz w:val="18"/>
              </w:rPr>
            </w:r>
            <w:r>
              <w:rPr>
                <w:b w:val="0"/>
                <w:i w:val="0"/>
                <w:sz w:val="18"/>
              </w:rPr>
              <w:t xml:space="preserve">Lower heart rate and demand; started early: </w:t>
            </w:r>
            <w:r>
              <w:rPr>
                <w:b/>
                <w:i w:val="0"/>
                <w:sz w:val="18"/>
              </w:rPr>
              <w:t>intravenous first, then oral</w:t>
            </w:r>
            <w:r>
              <w:rPr>
                <w:b w:val="0"/>
                <w:i w:val="0"/>
                <w:sz w:val="18"/>
              </w:rPr>
              <w:t xml:space="preserve"> (the course sequence; current guidelines favor oral therapy in the first day).</w:t>
            </w:r>
          </w:p>
        </w:tc>
        <w:tc>
          <w:tcPr>
            <w:tcW w:type="dxa" w:w="2424"/>
          </w:tcPr>
          <w:p>
            <w:pPr>
              <w:spacing w:after="40"/>
            </w:pPr>
            <w:r>
              <w:rPr>
                <w:sz w:val="18"/>
              </w:rPr>
            </w:r>
            <w:r>
              <w:rPr>
                <w:b w:val="0"/>
                <w:i w:val="0"/>
                <w:sz w:val="18"/>
              </w:rPr>
              <w:t xml:space="preserve">Taught to </w:t>
            </w:r>
            <w:r>
              <w:rPr>
                <w:b/>
                <w:i w:val="0"/>
                <w:sz w:val="18"/>
              </w:rPr>
              <w:t>reduce early and late mortality</w:t>
            </w:r>
            <w:r>
              <w:rPr>
                <w:b w:val="0"/>
                <w:i w:val="0"/>
                <w:sz w:val="18"/>
              </w:rPr>
              <w:t>, infarct size, heart failure and sudden cardiac death (the course answer; current evidence supports mainly the long-term benefit after infarction, most clearly with reduced ventricular function).</w:t>
            </w:r>
          </w:p>
        </w:tc>
        <w:tc>
          <w:tcPr>
            <w:tcW w:type="dxa" w:w="2424"/>
          </w:tcPr>
          <w:p>
            <w:pPr>
              <w:spacing w:after="40"/>
            </w:pPr>
            <w:r>
              <w:rPr>
                <w:sz w:val="18"/>
              </w:rPr>
            </w:r>
            <w:r>
              <w:rPr>
                <w:b w:val="0"/>
                <w:i w:val="0"/>
                <w:sz w:val="18"/>
              </w:rPr>
              <w:t>Both: common therapy for both groups.</w:t>
            </w:r>
          </w:p>
        </w:tc>
        <w:tc>
          <w:tcPr>
            <w:tcW w:type="dxa" w:w="2424"/>
          </w:tcPr>
          <w:p>
            <w:pPr>
              <w:spacing w:after="40"/>
            </w:pPr>
            <w:r>
              <w:rPr>
                <w:sz w:val="18"/>
              </w:rPr>
            </w:r>
            <w:r>
              <w:rPr>
                <w:b/>
                <w:i w:val="0"/>
                <w:sz w:val="18"/>
              </w:rPr>
              <w:t>Caution:</w:t>
            </w:r>
            <w:r>
              <w:rPr>
                <w:b w:val="0"/>
                <w:i w:val="0"/>
                <w:sz w:val="18"/>
              </w:rPr>
              <w:t xml:space="preserve"> bradycardia or hypotension, heart block, severe reactive airway disease. Avoid the intravenous route with heart failure, low cardiac output or risk of shock.</w:t>
            </w:r>
          </w:p>
        </w:tc>
        <w:tc>
          <w:tcPr>
            <w:tcW w:type="dxa" w:w="2424"/>
          </w:tcPr>
          <w:p>
            <w:pPr>
              <w:spacing w:after="40"/>
            </w:pPr>
            <w:r>
              <w:rPr>
                <w:sz w:val="18"/>
              </w:rPr>
            </w:r>
            <w:r>
              <w:rPr>
                <w:b w:val="0"/>
                <w:i w:val="0"/>
                <w:sz w:val="18"/>
              </w:rPr>
              <w:t>L8</w:t>
            </w:r>
            <w:r>
              <w:rPr>
                <w:sz w:val="18"/>
              </w:rPr>
              <w:br/>
            </w:r>
            <w:r>
              <w:rPr>
                <w:b w:val="0"/>
                <w:i w:val="0"/>
                <w:sz w:val="18"/>
              </w:rPr>
              <w:t>slide 55</w:t>
            </w:r>
            <w:r>
              <w:rPr>
                <w:sz w:val="18"/>
              </w:rPr>
              <w:br/>
            </w:r>
            <w:r>
              <w:rPr>
                <w:b w:val="0"/>
                <w:i w:val="0"/>
                <w:sz w:val="18"/>
              </w:rPr>
              <w:t>slide 52</w:t>
            </w:r>
          </w:p>
        </w:tc>
      </w:tr>
      <w:tr>
        <w:tc>
          <w:tcPr>
            <w:tcW w:type="dxa" w:w="2424"/>
          </w:tcPr>
          <w:p>
            <w:pPr>
              <w:spacing w:after="40"/>
            </w:pPr>
            <w:r>
              <w:rPr>
                <w:sz w:val="18"/>
              </w:rPr>
            </w:r>
            <w:r>
              <w:rPr>
                <w:b/>
                <w:i w:val="0"/>
                <w:sz w:val="18"/>
              </w:rPr>
              <w:t>Morphine</w:t>
            </w:r>
            <w:r>
              <w:rPr>
                <w:sz w:val="18"/>
              </w:rPr>
              <w:br/>
            </w:r>
            <w:r>
              <w:rPr>
                <w:b w:val="0"/>
                <w:i w:val="0"/>
                <w:sz w:val="18"/>
              </w:rPr>
              <w:t>opioid analgesic</w:t>
            </w:r>
          </w:p>
        </w:tc>
        <w:tc>
          <w:tcPr>
            <w:tcW w:type="dxa" w:w="2424"/>
          </w:tcPr>
          <w:p>
            <w:pPr>
              <w:spacing w:after="40"/>
            </w:pPr>
            <w:r>
              <w:rPr>
                <w:sz w:val="18"/>
              </w:rPr>
            </w:r>
            <w:r>
              <w:rPr>
                <w:b w:val="0"/>
                <w:i w:val="0"/>
                <w:sz w:val="18"/>
              </w:rPr>
              <w:t>Opioid analgesic for pain.</w:t>
            </w:r>
          </w:p>
        </w:tc>
        <w:tc>
          <w:tcPr>
            <w:tcW w:type="dxa" w:w="2424"/>
          </w:tcPr>
          <w:p>
            <w:pPr>
              <w:spacing w:after="40"/>
            </w:pPr>
            <w:r>
              <w:rPr>
                <w:sz w:val="18"/>
              </w:rPr>
            </w:r>
            <w:r>
              <w:rPr>
                <w:b w:val="0"/>
                <w:i w:val="0"/>
                <w:sz w:val="18"/>
              </w:rPr>
              <w:t xml:space="preserve">Management of </w:t>
            </w:r>
            <w:r>
              <w:rPr>
                <w:b/>
                <w:i w:val="0"/>
                <w:sz w:val="18"/>
              </w:rPr>
              <w:t>chest pain unresponsive to nitrates</w:t>
            </w:r>
            <w:r>
              <w:rPr>
                <w:b w:val="0"/>
                <w:i w:val="0"/>
                <w:sz w:val="18"/>
              </w:rPr>
              <w:t>.</w:t>
            </w:r>
          </w:p>
        </w:tc>
        <w:tc>
          <w:tcPr>
            <w:tcW w:type="dxa" w:w="2424"/>
          </w:tcPr>
          <w:p>
            <w:pPr>
              <w:spacing w:after="40"/>
            </w:pPr>
            <w:r>
              <w:rPr>
                <w:sz w:val="18"/>
              </w:rPr>
            </w:r>
            <w:r>
              <w:rPr>
                <w:b w:val="0"/>
                <w:i w:val="0"/>
                <w:sz w:val="18"/>
              </w:rPr>
              <w:t xml:space="preserve">Used in </w:t>
            </w:r>
            <w:r>
              <w:rPr>
                <w:b/>
                <w:i w:val="0"/>
                <w:sz w:val="18"/>
              </w:rPr>
              <w:t>ST-elevation myocardial infarction</w:t>
            </w:r>
            <w:r>
              <w:rPr>
                <w:b w:val="0"/>
                <w:i w:val="0"/>
                <w:sz w:val="18"/>
              </w:rPr>
              <w:t xml:space="preserve">; </w:t>
            </w:r>
            <w:r>
              <w:rPr>
                <w:b/>
                <w:i w:val="0"/>
                <w:sz w:val="18"/>
              </w:rPr>
              <w:t>may increase mortality</w:t>
            </w:r>
            <w:r>
              <w:rPr>
                <w:b w:val="0"/>
                <w:i w:val="0"/>
                <w:sz w:val="18"/>
              </w:rPr>
              <w:t xml:space="preserve"> in unstable angina and non-ST-elevation myocardial infarction.</w:t>
            </w:r>
          </w:p>
        </w:tc>
        <w:tc>
          <w:tcPr>
            <w:tcW w:type="dxa" w:w="2424"/>
          </w:tcPr>
          <w:p>
            <w:pPr>
              <w:spacing w:after="40"/>
            </w:pPr>
            <w:r>
              <w:rPr>
                <w:sz w:val="18"/>
              </w:rPr>
            </w:r>
            <w:r>
              <w:rPr>
                <w:b w:val="0"/>
                <w:i w:val="0"/>
                <w:sz w:val="18"/>
              </w:rPr>
              <w:t>Controversial. Adverse reactions: hypotension, allergy.</w:t>
            </w:r>
          </w:p>
        </w:tc>
        <w:tc>
          <w:tcPr>
            <w:tcW w:type="dxa" w:w="2424"/>
          </w:tcPr>
          <w:p>
            <w:pPr>
              <w:spacing w:after="40"/>
            </w:pPr>
            <w:r>
              <w:rPr>
                <w:sz w:val="18"/>
              </w:rPr>
            </w:r>
            <w:r>
              <w:rPr>
                <w:b w:val="0"/>
                <w:i w:val="0"/>
                <w:sz w:val="18"/>
              </w:rPr>
              <w:t>L8</w:t>
            </w:r>
            <w:r>
              <w:rPr>
                <w:sz w:val="18"/>
              </w:rPr>
              <w:br/>
            </w:r>
            <w:r>
              <w:rPr>
                <w:b w:val="0"/>
                <w:i w:val="0"/>
                <w:sz w:val="18"/>
              </w:rPr>
              <w:t>slide 56</w:t>
            </w:r>
          </w:p>
        </w:tc>
      </w:tr>
      <w:tr>
        <w:tc>
          <w:tcPr>
            <w:tcW w:type="dxa" w:w="2424"/>
          </w:tcPr>
          <w:p>
            <w:pPr>
              <w:spacing w:after="40"/>
            </w:pPr>
            <w:r>
              <w:rPr>
                <w:sz w:val="18"/>
              </w:rPr>
            </w:r>
            <w:r>
              <w:rPr>
                <w:b/>
                <w:i w:val="0"/>
                <w:sz w:val="18"/>
              </w:rPr>
              <w:t>Streptokinase</w:t>
            </w:r>
            <w:r>
              <w:rPr>
                <w:sz w:val="18"/>
              </w:rPr>
              <w:br/>
            </w:r>
            <w:r>
              <w:rPr>
                <w:b w:val="0"/>
                <w:i w:val="0"/>
                <w:sz w:val="18"/>
              </w:rPr>
              <w:t>fibrinolytic</w:t>
            </w:r>
          </w:p>
        </w:tc>
        <w:tc>
          <w:tcPr>
            <w:tcW w:type="dxa" w:w="2424"/>
          </w:tcPr>
          <w:p>
            <w:pPr>
              <w:spacing w:after="40"/>
            </w:pPr>
            <w:r>
              <w:rPr>
                <w:sz w:val="18"/>
              </w:rPr>
            </w:r>
            <w:r>
              <w:rPr>
                <w:b w:val="0"/>
                <w:i w:val="0"/>
                <w:sz w:val="18"/>
              </w:rPr>
              <w:t>Forms a stable 1:1 complex with plasminogen, exposing its catalytic site so the complex converts plasminogen to plasmin, which dissolves the clot.</w:t>
            </w:r>
          </w:p>
        </w:tc>
        <w:tc>
          <w:tcPr>
            <w:tcW w:type="dxa" w:w="2424"/>
          </w:tcPr>
          <w:p>
            <w:pPr>
              <w:spacing w:after="40"/>
            </w:pPr>
            <w:r>
              <w:rPr>
                <w:sz w:val="18"/>
              </w:rPr>
            </w:r>
            <w:r>
              <w:rPr>
                <w:b w:val="0"/>
                <w:i w:val="0"/>
                <w:sz w:val="18"/>
              </w:rPr>
              <w:t>Reopens the occluded coronary artery (reestablishes blood flow).</w:t>
            </w:r>
          </w:p>
        </w:tc>
        <w:tc>
          <w:tcPr>
            <w:tcW w:type="dxa" w:w="2424"/>
          </w:tcPr>
          <w:p>
            <w:pPr>
              <w:spacing w:after="40"/>
            </w:pPr>
            <w:r>
              <w:rPr>
                <w:sz w:val="18"/>
              </w:rPr>
            </w:r>
            <w:r>
              <w:rPr>
                <w:b w:val="0"/>
                <w:i w:val="0"/>
                <w:sz w:val="18"/>
              </w:rPr>
              <w:t>ST-elevation myocardial infarction (fibrinolytics are not recommended in non-ST-elevation disease).</w:t>
            </w:r>
          </w:p>
        </w:tc>
        <w:tc>
          <w:tcPr>
            <w:tcW w:type="dxa" w:w="2424"/>
          </w:tcPr>
          <w:p>
            <w:pPr>
              <w:spacing w:after="40"/>
            </w:pPr>
            <w:r>
              <w:rPr>
                <w:sz w:val="18"/>
              </w:rPr>
            </w:r>
            <w:r>
              <w:rPr>
                <w:b/>
                <w:i w:val="0"/>
                <w:sz w:val="18"/>
              </w:rPr>
              <w:t>Allergic reactions with fever, chills and rash</w:t>
            </w:r>
            <w:r>
              <w:rPr>
                <w:b w:val="0"/>
                <w:i w:val="0"/>
                <w:sz w:val="18"/>
              </w:rPr>
              <w:t xml:space="preserve">; anaphylaxis; bleeding. </w:t>
            </w:r>
            <w:r>
              <w:rPr>
                <w:b/>
                <w:i w:val="0"/>
                <w:sz w:val="18"/>
              </w:rPr>
              <w:t>Prior streptokinase exposure or allergic reaction is a contraindication.</w:t>
            </w:r>
          </w:p>
        </w:tc>
        <w:tc>
          <w:tcPr>
            <w:tcW w:type="dxa" w:w="2424"/>
          </w:tcPr>
          <w:p>
            <w:pPr>
              <w:spacing w:after="40"/>
            </w:pPr>
            <w:r>
              <w:rPr>
                <w:sz w:val="18"/>
              </w:rPr>
            </w:r>
            <w:r>
              <w:rPr>
                <w:b w:val="0"/>
                <w:i w:val="0"/>
                <w:sz w:val="18"/>
              </w:rPr>
              <w:t>L8</w:t>
            </w:r>
            <w:r>
              <w:rPr>
                <w:sz w:val="18"/>
              </w:rPr>
              <w:br/>
            </w:r>
            <w:r>
              <w:rPr>
                <w:b w:val="0"/>
                <w:i w:val="0"/>
                <w:sz w:val="18"/>
              </w:rPr>
              <w:t>slide 59</w:t>
            </w:r>
            <w:r>
              <w:rPr>
                <w:sz w:val="18"/>
              </w:rPr>
              <w:br/>
            </w:r>
            <w:r>
              <w:rPr>
                <w:b w:val="0"/>
                <w:i w:val="0"/>
                <w:sz w:val="18"/>
              </w:rPr>
              <w:t>slide 62</w:t>
            </w:r>
            <w:r>
              <w:rPr>
                <w:sz w:val="18"/>
              </w:rPr>
              <w:br/>
            </w:r>
            <w:r>
              <w:rPr>
                <w:b w:val="0"/>
                <w:i w:val="0"/>
                <w:sz w:val="18"/>
              </w:rPr>
              <w:t>slide 63</w:t>
            </w:r>
            <w:r>
              <w:rPr>
                <w:sz w:val="18"/>
              </w:rPr>
              <w:br/>
            </w:r>
            <w:r>
              <w:rPr>
                <w:b w:val="0"/>
                <w:i w:val="0"/>
                <w:sz w:val="18"/>
              </w:rPr>
              <w:t>slide 68</w:t>
            </w:r>
          </w:p>
        </w:tc>
      </w:tr>
      <w:tr>
        <w:tc>
          <w:tcPr>
            <w:tcW w:type="dxa" w:w="2424"/>
          </w:tcPr>
          <w:p>
            <w:pPr>
              <w:spacing w:after="40"/>
            </w:pPr>
            <w:r>
              <w:rPr>
                <w:sz w:val="18"/>
              </w:rPr>
            </w:r>
            <w:r>
              <w:rPr>
                <w:b/>
                <w:i w:val="0"/>
                <w:sz w:val="18"/>
              </w:rPr>
              <w:t>Alteplase</w:t>
            </w:r>
            <w:r>
              <w:rPr>
                <w:sz w:val="18"/>
              </w:rPr>
              <w:br/>
            </w:r>
            <w:r>
              <w:rPr>
                <w:b w:val="0"/>
                <w:i w:val="0"/>
                <w:sz w:val="18"/>
              </w:rPr>
              <w:t>Activase; tissue plasminogen activator</w:t>
            </w:r>
          </w:p>
        </w:tc>
        <w:tc>
          <w:tcPr>
            <w:tcW w:type="dxa" w:w="2424"/>
          </w:tcPr>
          <w:p>
            <w:pPr>
              <w:spacing w:after="40"/>
            </w:pPr>
            <w:r>
              <w:rPr>
                <w:sz w:val="18"/>
              </w:rPr>
            </w:r>
            <w:r>
              <w:rPr>
                <w:b w:val="0"/>
                <w:i w:val="0"/>
                <w:sz w:val="18"/>
              </w:rPr>
              <w:t>Recombinant tissue plasminogen activator: directly activates fibrin-bound plasminogen, so plasmin forms at the clot.</w:t>
            </w:r>
          </w:p>
        </w:tc>
        <w:tc>
          <w:tcPr>
            <w:tcW w:type="dxa" w:w="2424"/>
          </w:tcPr>
          <w:p>
            <w:pPr>
              <w:spacing w:after="40"/>
            </w:pPr>
            <w:r>
              <w:rPr>
                <w:sz w:val="18"/>
              </w:rPr>
            </w:r>
            <w:r>
              <w:rPr>
                <w:b w:val="0"/>
                <w:i w:val="0"/>
                <w:sz w:val="18"/>
              </w:rPr>
              <w:t xml:space="preserve">Reopens the artery; </w:t>
            </w:r>
            <w:r>
              <w:rPr>
                <w:b/>
                <w:i w:val="0"/>
                <w:sz w:val="18"/>
              </w:rPr>
              <w:t>very expensive</w:t>
            </w:r>
            <w:r>
              <w:rPr>
                <w:b w:val="0"/>
                <w:i w:val="0"/>
                <w:sz w:val="18"/>
              </w:rPr>
              <w:t>.</w:t>
            </w:r>
          </w:p>
        </w:tc>
        <w:tc>
          <w:tcPr>
            <w:tcW w:type="dxa" w:w="2424"/>
          </w:tcPr>
          <w:p>
            <w:pPr>
              <w:spacing w:after="40"/>
            </w:pPr>
            <w:r>
              <w:rPr>
                <w:sz w:val="18"/>
              </w:rPr>
            </w:r>
            <w:r>
              <w:rPr>
                <w:b w:val="0"/>
                <w:i w:val="0"/>
                <w:sz w:val="18"/>
              </w:rPr>
              <w:t xml:space="preserve">ST-elevation myocardial infarction, best early after symptom onset; </w:t>
            </w:r>
            <w:r>
              <w:rPr>
                <w:b/>
                <w:i w:val="0"/>
                <w:sz w:val="18"/>
              </w:rPr>
              <w:t>not recommended in non-ST-elevation acute coronary syndrome</w:t>
            </w:r>
            <w:r>
              <w:rPr>
                <w:b w:val="0"/>
                <w:i w:val="0"/>
                <w:sz w:val="18"/>
              </w:rPr>
              <w:t xml:space="preserve"> (bleeding risk exceeds benefit).</w:t>
            </w:r>
          </w:p>
        </w:tc>
        <w:tc>
          <w:tcPr>
            <w:tcW w:type="dxa" w:w="2424"/>
          </w:tcPr>
          <w:p>
            <w:pPr>
              <w:spacing w:after="40"/>
            </w:pPr>
            <w:r>
              <w:rPr>
                <w:sz w:val="18"/>
              </w:rPr>
            </w:r>
            <w:r>
              <w:rPr>
                <w:b w:val="0"/>
                <w:i w:val="0"/>
                <w:sz w:val="18"/>
              </w:rPr>
              <w:t>Bleeding, including intracranial hemorrhage; the fibrinolytic contraindications apply.</w:t>
            </w:r>
          </w:p>
        </w:tc>
        <w:tc>
          <w:tcPr>
            <w:tcW w:type="dxa" w:w="2424"/>
          </w:tcPr>
          <w:p>
            <w:pPr>
              <w:spacing w:after="40"/>
            </w:pPr>
            <w:r>
              <w:rPr>
                <w:sz w:val="18"/>
              </w:rPr>
            </w:r>
            <w:r>
              <w:rPr>
                <w:b w:val="0"/>
                <w:i w:val="0"/>
                <w:sz w:val="18"/>
              </w:rPr>
              <w:t>L8</w:t>
            </w:r>
            <w:r>
              <w:rPr>
                <w:sz w:val="18"/>
              </w:rPr>
              <w:br/>
            </w:r>
            <w:r>
              <w:rPr>
                <w:b w:val="0"/>
                <w:i w:val="0"/>
                <w:sz w:val="18"/>
              </w:rPr>
              <w:t>slide 64</w:t>
            </w:r>
            <w:r>
              <w:rPr>
                <w:sz w:val="18"/>
              </w:rPr>
              <w:br/>
            </w:r>
            <w:r>
              <w:rPr>
                <w:b w:val="0"/>
                <w:i w:val="0"/>
                <w:sz w:val="18"/>
              </w:rPr>
              <w:t>slide 65</w:t>
            </w:r>
            <w:r>
              <w:rPr>
                <w:sz w:val="18"/>
              </w:rPr>
              <w:br/>
            </w:r>
            <w:r>
              <w:rPr>
                <w:b w:val="0"/>
                <w:i w:val="0"/>
                <w:sz w:val="18"/>
              </w:rPr>
              <w:t>slide 63</w:t>
            </w:r>
          </w:p>
        </w:tc>
      </w:tr>
      <w:tr>
        <w:tc>
          <w:tcPr>
            <w:tcW w:type="dxa" w:w="2424"/>
          </w:tcPr>
          <w:p>
            <w:pPr>
              <w:spacing w:after="40"/>
            </w:pPr>
            <w:r>
              <w:rPr>
                <w:sz w:val="18"/>
              </w:rPr>
            </w:r>
            <w:r>
              <w:rPr>
                <w:b/>
                <w:i w:val="0"/>
                <w:sz w:val="18"/>
              </w:rPr>
              <w:t>Reteplase</w:t>
            </w:r>
            <w:r>
              <w:rPr>
                <w:sz w:val="18"/>
              </w:rPr>
              <w:br/>
            </w:r>
            <w:r>
              <w:rPr>
                <w:b w:val="0"/>
                <w:i w:val="0"/>
                <w:sz w:val="18"/>
              </w:rPr>
              <w:t>Retavase</w:t>
            </w:r>
          </w:p>
        </w:tc>
        <w:tc>
          <w:tcPr>
            <w:tcW w:type="dxa" w:w="2424"/>
          </w:tcPr>
          <w:p>
            <w:pPr>
              <w:spacing w:after="40"/>
            </w:pPr>
            <w:r>
              <w:rPr>
                <w:sz w:val="18"/>
              </w:rPr>
            </w:r>
            <w:r>
              <w:rPr>
                <w:b w:val="0"/>
                <w:i w:val="0"/>
                <w:sz w:val="18"/>
              </w:rPr>
              <w:t xml:space="preserve">Recombinant, made in Escherichia coli cells; </w:t>
            </w:r>
            <w:r>
              <w:rPr>
                <w:b/>
                <w:i w:val="0"/>
                <w:sz w:val="18"/>
              </w:rPr>
              <w:t>longer half-life than alteplase</w:t>
            </w:r>
            <w:r>
              <w:rPr>
                <w:b w:val="0"/>
                <w:i w:val="0"/>
                <w:sz w:val="18"/>
              </w:rPr>
              <w:t>.</w:t>
            </w:r>
          </w:p>
        </w:tc>
        <w:tc>
          <w:tcPr>
            <w:tcW w:type="dxa" w:w="2424"/>
          </w:tcPr>
          <w:p>
            <w:pPr>
              <w:spacing w:after="40"/>
            </w:pPr>
            <w:r>
              <w:rPr>
                <w:sz w:val="18"/>
              </w:rPr>
            </w:r>
            <w:r>
              <w:rPr>
                <w:b w:val="0"/>
                <w:i w:val="0"/>
                <w:sz w:val="18"/>
              </w:rPr>
              <w:t>Reopens the artery; very similar responses to the other tissue plasminogen activators.</w:t>
            </w:r>
          </w:p>
        </w:tc>
        <w:tc>
          <w:tcPr>
            <w:tcW w:type="dxa" w:w="2424"/>
          </w:tcPr>
          <w:p>
            <w:pPr>
              <w:spacing w:after="40"/>
            </w:pPr>
            <w:r>
              <w:rPr>
                <w:sz w:val="18"/>
              </w:rPr>
            </w:r>
            <w:r>
              <w:rPr>
                <w:b w:val="0"/>
                <w:i w:val="0"/>
                <w:sz w:val="18"/>
              </w:rPr>
              <w:t>ST-elevation myocardial infarction only.</w:t>
            </w:r>
          </w:p>
        </w:tc>
        <w:tc>
          <w:tcPr>
            <w:tcW w:type="dxa" w:w="2424"/>
          </w:tcPr>
          <w:p>
            <w:pPr>
              <w:spacing w:after="40"/>
            </w:pPr>
            <w:r>
              <w:rPr>
                <w:sz w:val="18"/>
              </w:rPr>
            </w:r>
            <w:r>
              <w:rPr>
                <w:b w:val="0"/>
                <w:i w:val="0"/>
                <w:sz w:val="18"/>
              </w:rPr>
              <w:t>Same bleeding risk and contraindications as the class.</w:t>
            </w:r>
          </w:p>
        </w:tc>
        <w:tc>
          <w:tcPr>
            <w:tcW w:type="dxa" w:w="2424"/>
          </w:tcPr>
          <w:p>
            <w:pPr>
              <w:spacing w:after="40"/>
            </w:pPr>
            <w:r>
              <w:rPr>
                <w:sz w:val="18"/>
              </w:rPr>
            </w:r>
            <w:r>
              <w:rPr>
                <w:b w:val="0"/>
                <w:i w:val="0"/>
                <w:sz w:val="18"/>
              </w:rPr>
              <w:t>L8</w:t>
            </w:r>
            <w:r>
              <w:rPr>
                <w:sz w:val="18"/>
              </w:rPr>
              <w:br/>
            </w:r>
            <w:r>
              <w:rPr>
                <w:b w:val="0"/>
                <w:i w:val="0"/>
                <w:sz w:val="18"/>
              </w:rPr>
              <w:t>slide 64</w:t>
            </w:r>
            <w:r>
              <w:rPr>
                <w:sz w:val="18"/>
              </w:rPr>
              <w:br/>
            </w:r>
            <w:r>
              <w:rPr>
                <w:b w:val="0"/>
                <w:i w:val="0"/>
                <w:sz w:val="18"/>
              </w:rPr>
              <w:t>slide 61</w:t>
            </w:r>
          </w:p>
        </w:tc>
      </w:tr>
      <w:tr>
        <w:tc>
          <w:tcPr>
            <w:tcW w:type="dxa" w:w="2424"/>
          </w:tcPr>
          <w:p>
            <w:pPr>
              <w:spacing w:after="40"/>
            </w:pPr>
            <w:r>
              <w:rPr>
                <w:sz w:val="18"/>
              </w:rPr>
            </w:r>
            <w:r>
              <w:rPr>
                <w:b/>
                <w:i w:val="0"/>
                <w:sz w:val="18"/>
              </w:rPr>
              <w:t>Tenecteplase</w:t>
            </w:r>
            <w:r>
              <w:rPr>
                <w:sz w:val="18"/>
              </w:rPr>
              <w:br/>
            </w:r>
            <w:r>
              <w:rPr>
                <w:b w:val="0"/>
                <w:i w:val="0"/>
                <w:sz w:val="18"/>
              </w:rPr>
              <w:t>TNKase</w:t>
            </w:r>
          </w:p>
        </w:tc>
        <w:tc>
          <w:tcPr>
            <w:tcW w:type="dxa" w:w="2424"/>
          </w:tcPr>
          <w:p>
            <w:pPr>
              <w:spacing w:after="40"/>
            </w:pPr>
            <w:r>
              <w:rPr>
                <w:sz w:val="18"/>
              </w:rPr>
            </w:r>
            <w:r>
              <w:rPr>
                <w:b w:val="0"/>
                <w:i w:val="0"/>
                <w:sz w:val="18"/>
              </w:rPr>
              <w:t xml:space="preserve">Recombinant (Chinese hamster ovary cells) with substituted amino acids; </w:t>
            </w:r>
            <w:r>
              <w:rPr>
                <w:b/>
                <w:i w:val="0"/>
                <w:sz w:val="18"/>
              </w:rPr>
              <w:t>longer half-life than alteplase</w:t>
            </w:r>
            <w:r>
              <w:rPr>
                <w:b w:val="0"/>
                <w:i w:val="0"/>
                <w:sz w:val="18"/>
              </w:rPr>
              <w:t xml:space="preserve">, relatively resistant to plasminogen activator inhibitor-1 and </w:t>
            </w:r>
            <w:r>
              <w:rPr>
                <w:b/>
                <w:i w:val="0"/>
                <w:sz w:val="18"/>
              </w:rPr>
              <w:t>increased affinity for fibrin</w:t>
            </w:r>
            <w:r>
              <w:rPr>
                <w:b w:val="0"/>
                <w:i w:val="0"/>
                <w:sz w:val="18"/>
              </w:rPr>
              <w:t>.</w:t>
            </w:r>
          </w:p>
        </w:tc>
        <w:tc>
          <w:tcPr>
            <w:tcW w:type="dxa" w:w="2424"/>
          </w:tcPr>
          <w:p>
            <w:pPr>
              <w:spacing w:after="40"/>
            </w:pPr>
            <w:r>
              <w:rPr>
                <w:sz w:val="18"/>
              </w:rPr>
            </w:r>
            <w:r>
              <w:rPr>
                <w:b w:val="0"/>
                <w:i w:val="0"/>
                <w:sz w:val="18"/>
              </w:rPr>
              <w:t>Reopens the artery; very similar responses to the other tissue plasminogen activators.</w:t>
            </w:r>
          </w:p>
        </w:tc>
        <w:tc>
          <w:tcPr>
            <w:tcW w:type="dxa" w:w="2424"/>
          </w:tcPr>
          <w:p>
            <w:pPr>
              <w:spacing w:after="40"/>
            </w:pPr>
            <w:r>
              <w:rPr>
                <w:sz w:val="18"/>
              </w:rPr>
            </w:r>
            <w:r>
              <w:rPr>
                <w:b w:val="0"/>
                <w:i w:val="0"/>
                <w:sz w:val="18"/>
              </w:rPr>
              <w:t>ST-elevation myocardial infarction only.</w:t>
            </w:r>
          </w:p>
        </w:tc>
        <w:tc>
          <w:tcPr>
            <w:tcW w:type="dxa" w:w="2424"/>
          </w:tcPr>
          <w:p>
            <w:pPr>
              <w:spacing w:after="40"/>
            </w:pPr>
            <w:r>
              <w:rPr>
                <w:sz w:val="18"/>
              </w:rPr>
            </w:r>
            <w:r>
              <w:rPr>
                <w:b w:val="0"/>
                <w:i w:val="0"/>
                <w:sz w:val="18"/>
              </w:rPr>
              <w:t>Same bleeding risk and contraindications as the class.</w:t>
            </w:r>
          </w:p>
        </w:tc>
        <w:tc>
          <w:tcPr>
            <w:tcW w:type="dxa" w:w="2424"/>
          </w:tcPr>
          <w:p>
            <w:pPr>
              <w:spacing w:after="40"/>
            </w:pPr>
            <w:r>
              <w:rPr>
                <w:sz w:val="18"/>
              </w:rPr>
            </w:r>
            <w:r>
              <w:rPr>
                <w:b w:val="0"/>
                <w:i w:val="0"/>
                <w:sz w:val="18"/>
              </w:rPr>
              <w:t>L8</w:t>
            </w:r>
            <w:r>
              <w:rPr>
                <w:sz w:val="18"/>
              </w:rPr>
              <w:br/>
            </w:r>
            <w:r>
              <w:rPr>
                <w:b w:val="0"/>
                <w:i w:val="0"/>
                <w:sz w:val="18"/>
              </w:rPr>
              <w:t>slide 64</w:t>
            </w:r>
            <w:r>
              <w:rPr>
                <w:sz w:val="18"/>
              </w:rPr>
              <w:br/>
            </w:r>
            <w:r>
              <w:rPr>
                <w:b w:val="0"/>
                <w:i w:val="0"/>
                <w:sz w:val="18"/>
              </w:rPr>
              <w:t>slide 61</w:t>
            </w:r>
          </w:p>
        </w:tc>
      </w:tr>
      <w:tr>
        <w:tc>
          <w:tcPr>
            <w:tcW w:type="dxa" w:w="2424"/>
          </w:tcPr>
          <w:p>
            <w:pPr>
              <w:spacing w:after="40"/>
            </w:pPr>
            <w:r>
              <w:rPr>
                <w:sz w:val="18"/>
              </w:rPr>
            </w:r>
            <w:r>
              <w:rPr>
                <w:b/>
                <w:i w:val="0"/>
                <w:sz w:val="18"/>
              </w:rPr>
              <w:t>Glycoprotein IIb/IIIa inhibitors</w:t>
            </w:r>
          </w:p>
        </w:tc>
        <w:tc>
          <w:tcPr>
            <w:tcW w:type="dxa" w:w="2424"/>
          </w:tcPr>
          <w:p>
            <w:pPr>
              <w:spacing w:after="40"/>
            </w:pPr>
            <w:r>
              <w:rPr>
                <w:sz w:val="18"/>
              </w:rPr>
            </w:r>
            <w:r>
              <w:rPr>
                <w:b w:val="0"/>
                <w:i w:val="0"/>
                <w:sz w:val="18"/>
              </w:rPr>
              <w:t>Antiplatelet agents used around percutaneous coronary intervention.</w:t>
            </w:r>
          </w:p>
        </w:tc>
        <w:tc>
          <w:tcPr>
            <w:tcW w:type="dxa" w:w="2424"/>
          </w:tcPr>
          <w:p>
            <w:pPr>
              <w:spacing w:after="40"/>
            </w:pPr>
            <w:r>
              <w:rPr>
                <w:sz w:val="18"/>
              </w:rPr>
            </w:r>
            <w:r>
              <w:rPr>
                <w:b w:val="0"/>
                <w:i w:val="0"/>
                <w:sz w:val="18"/>
              </w:rPr>
              <w:t>Not routinely recommended before percutaneous coronary intervention.</w:t>
            </w:r>
          </w:p>
        </w:tc>
        <w:tc>
          <w:tcPr>
            <w:tcW w:type="dxa" w:w="2424"/>
          </w:tcPr>
          <w:p>
            <w:pPr>
              <w:spacing w:after="40"/>
            </w:pPr>
            <w:r>
              <w:rPr>
                <w:sz w:val="18"/>
              </w:rPr>
            </w:r>
            <w:r>
              <w:rPr>
                <w:b w:val="0"/>
                <w:i w:val="0"/>
                <w:sz w:val="18"/>
              </w:rPr>
              <w:t xml:space="preserve">Used </w:t>
            </w:r>
            <w:r>
              <w:rPr>
                <w:b/>
                <w:i w:val="0"/>
                <w:sz w:val="18"/>
              </w:rPr>
              <w:t>more commonly in non-ST-elevation acute coronary syndrome</w:t>
            </w:r>
            <w:r>
              <w:rPr>
                <w:b w:val="0"/>
                <w:i w:val="0"/>
                <w:sz w:val="18"/>
              </w:rPr>
              <w:t>.</w:t>
            </w:r>
          </w:p>
        </w:tc>
        <w:tc>
          <w:tcPr>
            <w:tcW w:type="dxa" w:w="2424"/>
          </w:tcPr>
          <w:p>
            <w:pPr>
              <w:spacing w:after="40"/>
            </w:pPr>
            <w:r>
              <w:rPr>
                <w:sz w:val="18"/>
              </w:rPr>
            </w:r>
            <w:r>
              <w:rPr>
                <w:b w:val="0"/>
                <w:i w:val="0"/>
                <w:sz w:val="18"/>
              </w:rPr>
              <w:t>No specific caution is listed; antithrombotic drugs raise bleeding risk (general background).</w:t>
            </w:r>
          </w:p>
        </w:tc>
        <w:tc>
          <w:tcPr>
            <w:tcW w:type="dxa" w:w="2424"/>
          </w:tcPr>
          <w:p>
            <w:pPr>
              <w:spacing w:after="40"/>
            </w:pPr>
            <w:r>
              <w:rPr>
                <w:sz w:val="18"/>
              </w:rPr>
            </w:r>
            <w:r>
              <w:rPr>
                <w:b w:val="0"/>
                <w:i w:val="0"/>
                <w:sz w:val="18"/>
              </w:rPr>
              <w:t>L8</w:t>
            </w:r>
            <w:r>
              <w:rPr>
                <w:sz w:val="18"/>
              </w:rPr>
              <w:br/>
            </w:r>
            <w:r>
              <w:rPr>
                <w:b w:val="0"/>
                <w:i w:val="0"/>
                <w:sz w:val="18"/>
              </w:rPr>
              <w:t>slide 66</w:t>
            </w:r>
            <w:r>
              <w:rPr>
                <w:sz w:val="18"/>
              </w:rPr>
              <w:br/>
            </w:r>
            <w:r>
              <w:rPr>
                <w:b w:val="0"/>
                <w:i w:val="0"/>
                <w:sz w:val="18"/>
              </w:rPr>
              <w:t>slide 68</w:t>
            </w:r>
          </w:p>
        </w:tc>
      </w:tr>
      <w:tr>
        <w:tc>
          <w:tcPr>
            <w:tcW w:type="dxa" w:w="2424"/>
          </w:tcPr>
          <w:p>
            <w:pPr>
              <w:spacing w:after="40"/>
            </w:pPr>
            <w:r>
              <w:rPr>
                <w:sz w:val="18"/>
              </w:rPr>
            </w:r>
            <w:r>
              <w:rPr>
                <w:b/>
                <w:i w:val="0"/>
                <w:sz w:val="18"/>
              </w:rPr>
              <w:t>P2Y12 receptor antagonists</w:t>
            </w:r>
          </w:p>
        </w:tc>
        <w:tc>
          <w:tcPr>
            <w:tcW w:type="dxa" w:w="2424"/>
          </w:tcPr>
          <w:p>
            <w:pPr>
              <w:spacing w:after="40"/>
            </w:pPr>
            <w:r>
              <w:rPr>
                <w:sz w:val="18"/>
              </w:rPr>
            </w:r>
            <w:r>
              <w:rPr>
                <w:b w:val="0"/>
                <w:i w:val="0"/>
                <w:sz w:val="18"/>
              </w:rPr>
              <w:t>Block the platelet P2Y12 receptor (antiplatelet).</w:t>
            </w:r>
          </w:p>
        </w:tc>
        <w:tc>
          <w:tcPr>
            <w:tcW w:type="dxa" w:w="2424"/>
          </w:tcPr>
          <w:p>
            <w:pPr>
              <w:spacing w:after="40"/>
            </w:pPr>
            <w:r>
              <w:rPr>
                <w:sz w:val="18"/>
              </w:rPr>
            </w:r>
            <w:r>
              <w:rPr>
                <w:b w:val="0"/>
                <w:i w:val="0"/>
                <w:sz w:val="18"/>
              </w:rPr>
              <w:t xml:space="preserve">Used </w:t>
            </w:r>
            <w:r>
              <w:rPr>
                <w:b/>
                <w:i w:val="0"/>
                <w:sz w:val="18"/>
              </w:rPr>
              <w:t>before percutaneous coronary intervention</w:t>
            </w:r>
            <w:r>
              <w:rPr>
                <w:b w:val="0"/>
                <w:i w:val="0"/>
                <w:sz w:val="18"/>
              </w:rPr>
              <w:t xml:space="preserve"> and as </w:t>
            </w:r>
            <w:r>
              <w:rPr>
                <w:b/>
                <w:i w:val="0"/>
                <w:sz w:val="18"/>
              </w:rPr>
              <w:t>clot prophylaxis when a stent is placed</w:t>
            </w:r>
            <w:r>
              <w:rPr>
                <w:b w:val="0"/>
                <w:i w:val="0"/>
                <w:sz w:val="18"/>
              </w:rPr>
              <w:t>.</w:t>
            </w:r>
          </w:p>
        </w:tc>
        <w:tc>
          <w:tcPr>
            <w:tcW w:type="dxa" w:w="2424"/>
          </w:tcPr>
          <w:p>
            <w:pPr>
              <w:spacing w:after="40"/>
            </w:pPr>
            <w:r>
              <w:rPr>
                <w:sz w:val="18"/>
              </w:rPr>
            </w:r>
            <w:r>
              <w:rPr>
                <w:b w:val="0"/>
                <w:i w:val="0"/>
                <w:sz w:val="18"/>
              </w:rPr>
              <w:t>Used before percutaneous coronary intervention and when a stent is placed.</w:t>
            </w:r>
          </w:p>
        </w:tc>
        <w:tc>
          <w:tcPr>
            <w:tcW w:type="dxa" w:w="2424"/>
          </w:tcPr>
          <w:p>
            <w:pPr>
              <w:spacing w:after="40"/>
            </w:pPr>
            <w:r>
              <w:rPr>
                <w:sz w:val="18"/>
              </w:rPr>
            </w:r>
            <w:r>
              <w:rPr>
                <w:b w:val="0"/>
                <w:i w:val="0"/>
                <w:sz w:val="18"/>
              </w:rPr>
              <w:t>No specific caution is listed; antithrombotic drugs raise bleeding risk (general background).</w:t>
            </w:r>
          </w:p>
        </w:tc>
        <w:tc>
          <w:tcPr>
            <w:tcW w:type="dxa" w:w="2424"/>
          </w:tcPr>
          <w:p>
            <w:pPr>
              <w:spacing w:after="40"/>
            </w:pPr>
            <w:r>
              <w:rPr>
                <w:sz w:val="18"/>
              </w:rPr>
            </w:r>
            <w:r>
              <w:rPr>
                <w:b w:val="0"/>
                <w:i w:val="0"/>
                <w:sz w:val="18"/>
              </w:rPr>
              <w:t>L8</w:t>
            </w:r>
            <w:r>
              <w:rPr>
                <w:sz w:val="18"/>
              </w:rPr>
              <w:br/>
            </w:r>
            <w:r>
              <w:rPr>
                <w:b w:val="0"/>
                <w:i w:val="0"/>
                <w:sz w:val="18"/>
              </w:rPr>
              <w:t>slide 66</w:t>
            </w:r>
            <w:r>
              <w:rPr>
                <w:sz w:val="18"/>
              </w:rPr>
              <w:br/>
            </w:r>
            <w:r>
              <w:rPr>
                <w:b w:val="0"/>
                <w:i w:val="0"/>
                <w:sz w:val="18"/>
              </w:rPr>
              <w:t>slide 37</w:t>
            </w:r>
          </w:p>
        </w:tc>
      </w:tr>
      <w:tr>
        <w:tc>
          <w:tcPr>
            <w:tcW w:type="dxa" w:w="2424"/>
          </w:tcPr>
          <w:p>
            <w:pPr>
              <w:spacing w:after="40"/>
            </w:pPr>
            <w:r>
              <w:rPr>
                <w:sz w:val="18"/>
              </w:rPr>
            </w:r>
            <w:r>
              <w:rPr>
                <w:b/>
                <w:i w:val="0"/>
                <w:sz w:val="18"/>
              </w:rPr>
              <w:t>Heparins</w:t>
            </w:r>
            <w:r>
              <w:rPr>
                <w:sz w:val="18"/>
              </w:rPr>
              <w:br/>
            </w:r>
            <w:r>
              <w:rPr>
                <w:b w:val="0"/>
                <w:i w:val="0"/>
                <w:sz w:val="18"/>
              </w:rPr>
              <w:t>unfractionated heparin, enoxaparin (low-molecular-weight heparin)</w:t>
            </w:r>
          </w:p>
        </w:tc>
        <w:tc>
          <w:tcPr>
            <w:tcW w:type="dxa" w:w="2424"/>
          </w:tcPr>
          <w:p>
            <w:pPr>
              <w:spacing w:after="40"/>
            </w:pPr>
            <w:r>
              <w:rPr>
                <w:sz w:val="18"/>
              </w:rPr>
            </w:r>
            <w:r>
              <w:rPr>
                <w:b w:val="0"/>
                <w:i w:val="0"/>
                <w:sz w:val="18"/>
              </w:rPr>
              <w:t>Anticoagulants, given with fibrinolysis or antiplatelet agents.</w:t>
            </w:r>
          </w:p>
        </w:tc>
        <w:tc>
          <w:tcPr>
            <w:tcW w:type="dxa" w:w="2424"/>
          </w:tcPr>
          <w:p>
            <w:pPr>
              <w:spacing w:after="40"/>
            </w:pPr>
            <w:r>
              <w:rPr>
                <w:sz w:val="18"/>
              </w:rPr>
            </w:r>
            <w:r>
              <w:rPr>
                <w:b w:val="0"/>
                <w:i w:val="0"/>
                <w:sz w:val="18"/>
              </w:rPr>
              <w:t xml:space="preserve">Used </w:t>
            </w:r>
            <w:r>
              <w:rPr>
                <w:b/>
                <w:i w:val="0"/>
                <w:sz w:val="18"/>
              </w:rPr>
              <w:t>in conjunction with fibrinolysis or antiplatelet agents</w:t>
            </w:r>
            <w:r>
              <w:rPr>
                <w:b w:val="0"/>
                <w:i w:val="0"/>
                <w:sz w:val="18"/>
              </w:rPr>
              <w:t>.</w:t>
            </w:r>
          </w:p>
        </w:tc>
        <w:tc>
          <w:tcPr>
            <w:tcW w:type="dxa" w:w="2424"/>
          </w:tcPr>
          <w:p>
            <w:pPr>
              <w:spacing w:after="40"/>
            </w:pPr>
            <w:r>
              <w:rPr>
                <w:sz w:val="18"/>
              </w:rPr>
            </w:r>
            <w:r>
              <w:rPr>
                <w:b/>
                <w:i w:val="0"/>
                <w:sz w:val="18"/>
              </w:rPr>
              <w:t>Non-ST-elevation acute coronary syndrome: enoxaparin is preferred over unfractionated heparin</w:t>
            </w:r>
            <w:r>
              <w:rPr>
                <w:b w:val="0"/>
                <w:i w:val="0"/>
                <w:sz w:val="18"/>
              </w:rPr>
              <w:t xml:space="preserve"> (older studies; current guidelines accept either).</w:t>
            </w:r>
          </w:p>
        </w:tc>
        <w:tc>
          <w:tcPr>
            <w:tcW w:type="dxa" w:w="2424"/>
          </w:tcPr>
          <w:p>
            <w:pPr>
              <w:spacing w:after="40"/>
            </w:pPr>
            <w:r>
              <w:rPr>
                <w:sz w:val="18"/>
              </w:rPr>
            </w:r>
            <w:r>
              <w:rPr>
                <w:b w:val="0"/>
                <w:i w:val="0"/>
                <w:sz w:val="18"/>
              </w:rPr>
              <w:t>No specific caution is listed; antithrombotic drugs raise bleeding risk (general background).</w:t>
            </w:r>
          </w:p>
        </w:tc>
        <w:tc>
          <w:tcPr>
            <w:tcW w:type="dxa" w:w="2424"/>
          </w:tcPr>
          <w:p>
            <w:pPr>
              <w:spacing w:after="40"/>
            </w:pPr>
            <w:r>
              <w:rPr>
                <w:sz w:val="18"/>
              </w:rPr>
            </w:r>
            <w:r>
              <w:rPr>
                <w:b w:val="0"/>
                <w:i w:val="0"/>
                <w:sz w:val="18"/>
              </w:rPr>
              <w:t>L8</w:t>
            </w:r>
            <w:r>
              <w:rPr>
                <w:sz w:val="18"/>
              </w:rPr>
              <w:br/>
            </w:r>
            <w:r>
              <w:rPr>
                <w:b w:val="0"/>
                <w:i w:val="0"/>
                <w:sz w:val="18"/>
              </w:rPr>
              <w:t>slide 66</w:t>
            </w:r>
            <w:r>
              <w:rPr>
                <w:sz w:val="18"/>
              </w:rPr>
              <w:br/>
            </w:r>
            <w:r>
              <w:rPr>
                <w:b w:val="0"/>
                <w:i w:val="0"/>
                <w:sz w:val="18"/>
              </w:rPr>
              <w:t>slide 68</w:t>
            </w:r>
          </w:p>
        </w:tc>
      </w:tr>
      <w:tr>
        <w:tc>
          <w:tcPr>
            <w:tcW w:type="dxa" w:w="2424"/>
          </w:tcPr>
          <w:p>
            <w:pPr>
              <w:spacing w:after="40"/>
            </w:pPr>
            <w:r>
              <w:rPr>
                <w:sz w:val="18"/>
              </w:rPr>
            </w:r>
            <w:r>
              <w:rPr>
                <w:b/>
                <w:i w:val="0"/>
                <w:sz w:val="18"/>
              </w:rPr>
              <w:t>Non-ST-elevation acute coronary syndrome</w:t>
            </w:r>
            <w:r>
              <w:rPr>
                <w:sz w:val="18"/>
              </w:rPr>
              <w:br/>
            </w:r>
            <w:r>
              <w:rPr>
                <w:b w:val="0"/>
                <w:i w:val="0"/>
                <w:sz w:val="18"/>
              </w:rPr>
              <w:t>unstable angina and non-ST-elevation myocardial infarction</w:t>
            </w:r>
          </w:p>
        </w:tc>
        <w:tc>
          <w:tcPr>
            <w:tcW w:type="dxa" w:w="2424"/>
          </w:tcPr>
          <w:p>
            <w:pPr>
              <w:spacing w:after="40"/>
            </w:pPr>
            <w:r>
              <w:rPr>
                <w:sz w:val="18"/>
              </w:rPr>
            </w:r>
            <w:r>
              <w:rPr>
                <w:b w:val="0"/>
                <w:i w:val="0"/>
                <w:sz w:val="18"/>
              </w:rPr>
              <w:t>What changes compared with ST-elevation myocardial infarction.</w:t>
            </w:r>
          </w:p>
        </w:tc>
        <w:tc>
          <w:tcPr>
            <w:tcW w:type="dxa" w:w="2424"/>
          </w:tcPr>
          <w:p>
            <w:pPr>
              <w:spacing w:after="40"/>
            </w:pPr>
            <w:r>
              <w:rPr>
                <w:sz w:val="18"/>
              </w:rPr>
            </w:r>
            <w:r>
              <w:rPr>
                <w:b w:val="0"/>
                <w:i w:val="0"/>
                <w:sz w:val="18"/>
              </w:rPr>
              <w:t>Early treatment is similar to ST-elevation myocardial infarction.</w:t>
            </w:r>
          </w:p>
        </w:tc>
        <w:tc>
          <w:tcPr>
            <w:tcW w:type="dxa" w:w="2424"/>
          </w:tcPr>
          <w:p>
            <w:pPr>
              <w:spacing w:after="40"/>
            </w:pPr>
            <w:r>
              <w:rPr>
                <w:sz w:val="18"/>
              </w:rPr>
            </w:r>
            <w:r>
              <w:rPr>
                <w:b/>
                <w:i w:val="0"/>
                <w:sz w:val="18"/>
              </w:rPr>
              <w:t>No fibrinolytics</w:t>
            </w:r>
            <w:r>
              <w:rPr>
                <w:b w:val="0"/>
                <w:i w:val="0"/>
                <w:sz w:val="18"/>
              </w:rPr>
              <w:t xml:space="preserve"> (bleeding risk is greater than benefit); enoxaparin over heparin; glycoprotein IIb/IIIa inhibitors more often; morphine may increase mortality.</w:t>
            </w:r>
          </w:p>
        </w:tc>
        <w:tc>
          <w:tcPr>
            <w:tcW w:type="dxa" w:w="2424"/>
          </w:tcPr>
          <w:p>
            <w:pPr>
              <w:spacing w:after="40"/>
            </w:pPr>
            <w:r>
              <w:rPr>
                <w:sz w:val="18"/>
              </w:rPr>
            </w:r>
            <w:r>
              <w:rPr>
                <w:b w:val="0"/>
                <w:i w:val="0"/>
                <w:sz w:val="18"/>
              </w:rPr>
              <w:t xml:space="preserve">Fibrinolytics are </w:t>
            </w:r>
            <w:r>
              <w:rPr>
                <w:b/>
                <w:i w:val="0"/>
                <w:sz w:val="18"/>
              </w:rPr>
              <w:t>not recommended</w:t>
            </w:r>
            <w:r>
              <w:rPr>
                <w:b w:val="0"/>
                <w:i w:val="0"/>
                <w:sz w:val="18"/>
              </w:rPr>
              <w:t>.</w:t>
            </w:r>
          </w:p>
        </w:tc>
        <w:tc>
          <w:tcPr>
            <w:tcW w:type="dxa" w:w="2424"/>
          </w:tcPr>
          <w:p>
            <w:pPr>
              <w:spacing w:after="40"/>
            </w:pPr>
            <w:r>
              <w:rPr>
                <w:sz w:val="18"/>
              </w:rPr>
            </w:r>
            <w:r>
              <w:rPr>
                <w:b w:val="0"/>
                <w:i w:val="0"/>
                <w:sz w:val="18"/>
              </w:rPr>
              <w:t>L8</w:t>
            </w:r>
            <w:r>
              <w:rPr>
                <w:sz w:val="18"/>
              </w:rPr>
              <w:br/>
            </w:r>
            <w:r>
              <w:rPr>
                <w:b w:val="0"/>
                <w:i w:val="0"/>
                <w:sz w:val="18"/>
              </w:rPr>
              <w:t>slide 68</w:t>
            </w:r>
            <w:r>
              <w:rPr>
                <w:sz w:val="18"/>
              </w:rPr>
              <w:br/>
            </w:r>
            <w:r>
              <w:rPr>
                <w:b w:val="0"/>
                <w:i w:val="0"/>
                <w:sz w:val="18"/>
              </w:rPr>
              <w:t>slide 56</w:t>
            </w:r>
          </w:p>
        </w:tc>
      </w:tr>
    </w:tbl>
    <w:p>
      <w:pPr>
        <w:spacing w:after="80"/>
      </w:pPr>
    </w:p>
    <w:p>
      <w:pPr>
        <w:spacing w:after="120"/>
      </w:pPr>
      <w:r>
        <w:rPr>
          <w:b w:val="0"/>
          <w:i w:val="0"/>
        </w:rPr>
        <w:t xml:space="preserve"> Every row is checked against the slide it cites by </w:t>
      </w:r>
      <w:r>
        <w:rPr>
          <w:rFonts w:ascii="Consolas" w:hAnsi="Consolas"/>
          <w:b w:val="0"/>
          <w:i w:val="0"/>
          <w:sz w:val="18"/>
        </w:rPr>
        <w:t>tools/check_pharm_e2.py</w:t>
      </w:r>
      <w:r>
        <w:rPr>
          <w:b w:val="0"/>
          <w:i w:val="0"/>
        </w:rPr>
        <w:t xml:space="preserve"> before this page is written. </w:t>
      </w:r>
    </w:p>
    <w:sectPr w:rsidR="00FC693F" w:rsidRPr="0006063C" w:rsidSect="00034616">
      <w:pgSz w:w="15840" w:h="12240" w:orient="landscape"/>
      <w:pgMar w:top="648" w:right="648" w:bottom="648"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