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Antianginal Drugs Compared</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Pharmacology I · Exam 2 · Class of 2028</w:t>
      </w:r>
    </w:p>
    <w:p>
      <w:pPr>
        <w:spacing w:after="120"/>
      </w:pPr>
      <w:r>
        <w:rPr>
          <w:b w:val="0"/>
          <w:i w:val="0"/>
        </w:rPr>
        <w:t>Beta blockers, the two kinds of calcium channel blocker and the nitrates side by side, with the two vasculoprotective add-ons: how each works, what it does to heart rate and pressure, where it fits, what to watch and when not to use it.</w:t>
      </w:r>
    </w:p>
    <w:p>
      <w:pPr>
        <w:pStyle w:val="Heading1"/>
        <w:spacing w:before="280" w:after="100"/>
      </w:pPr>
      <w:r>
        <w:rPr>
          <w:rFonts w:ascii="Georgia" w:hAnsi="Georgia"/>
          <w:color w:val="6B3524"/>
        </w:rPr>
        <w:t>Lecture 8 — Myocardial Ischemia Drug Therapy 7 rows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Reading the hemodynamic column:</w:t>
            </w:r>
            <w:r>
              <w:rPr>
                <w:b w:val="0"/>
                <w:i w:val="0"/>
              </w:rPr>
              <w:t xml:space="preserve"> wall tension falls when the pressure the heart pumps against falls (afterload) or when the filling volume falls (preload). </w:t>
            </w:r>
            <w:r>
              <w:rPr>
                <w:b/>
                <w:i w:val="0"/>
              </w:rPr>
              <w:t>Nitrates lower the left ventricular volume the most (preload); dihydropyridines lower pressure the most; beta blockers and non-dihydropyridines slow the heart.</w:t>
            </w:r>
            <w:r>
              <w:rPr>
                <w:b w:val="0"/>
                <w:i w:val="0"/>
              </w:rPr>
              <w:t xml:space="preserve"> Nifedipine, felodipine and the nitrates raise the heart rate (reflex tachycardia; amlodipine leaves it unchanged) while beta blockers and non-dihydropyridines lower it. </w:t>
            </w:r>
            <w:r>
              <w:rPr>
                <w:b/>
                <w:i w:val="0"/>
              </w:rPr>
              <w:t>Two cells of the comorbidity table are kept as the course teaches them</w:t>
            </w:r>
            <w:r>
              <w:rPr>
                <w:b w:val="0"/>
                <w:i w:val="0"/>
              </w:rPr>
              <w:t xml:space="preserve"> (“prior myocardial infarction: avoid calcium channel blockers” and the diabetes row that makes non-dihydropyridines first line); both are simpler than current practice, which allows a non-dihydropyridine after infarction when a beta blocker cannot be used and still accepts a cardioselective beta blocker in diabetes. </w:t>
            </w:r>
            <w:r>
              <w:rPr>
                <w:b/>
                <w:i w:val="0"/>
              </w:rPr>
              <w:t>An older overview also says aspirin and clopidogrel increase coronary blood flow;</w:t>
            </w:r>
            <w:r>
              <w:rPr>
                <w:b w:val="0"/>
                <w:i w:val="0"/>
              </w:rPr>
              <w:t xml:space="preserve"> that is not established, so it is not repeated here. Patient education for nitroglycerin: store in the original container; course rule: replace tablets 3–6 months after opening (current labeling uses the expiration date if kept in the original glass container), call emergency medical services if the first dose gives no relief after 5 minutes.</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1818"/>
        <w:gridCol w:w="1818"/>
        <w:gridCol w:w="1818"/>
        <w:gridCol w:w="1818"/>
        <w:gridCol w:w="1818"/>
        <w:gridCol w:w="1818"/>
        <w:gridCol w:w="1818"/>
        <w:gridCol w:w="1818"/>
      </w:tblGrid>
      <w:tr>
        <w:tc>
          <w:tcPr>
            <w:tcW w:type="dxa" w:w="1818"/>
            <w:shd w:val="clear" w:color="auto" w:fill="6B3524"/>
          </w:tcPr>
          <w:p>
            <w:pPr>
              <w:spacing w:after="40"/>
            </w:pPr>
            <w:r>
              <w:rPr>
                <w:b/>
                <w:color w:val="FFFFFF"/>
                <w:sz w:val="18"/>
              </w:rPr>
            </w:r>
            <w:r>
              <w:rPr>
                <w:b/>
                <w:i w:val="0"/>
                <w:color w:val="FFFFFF"/>
                <w:sz w:val="18"/>
              </w:rPr>
              <w:t>Class and examples</w:t>
            </w:r>
          </w:p>
        </w:tc>
        <w:tc>
          <w:tcPr>
            <w:tcW w:type="dxa" w:w="1818"/>
            <w:shd w:val="clear" w:color="auto" w:fill="6B3524"/>
          </w:tcPr>
          <w:p>
            <w:pPr>
              <w:spacing w:after="40"/>
            </w:pPr>
            <w:r>
              <w:rPr>
                <w:b/>
                <w:color w:val="FFFFFF"/>
                <w:sz w:val="18"/>
              </w:rPr>
            </w:r>
            <w:r>
              <w:rPr>
                <w:b/>
                <w:i w:val="0"/>
                <w:color w:val="FFFFFF"/>
                <w:sz w:val="18"/>
              </w:rPr>
              <w:t>How it works (oxygen demand and supply)</w:t>
            </w:r>
          </w:p>
        </w:tc>
        <w:tc>
          <w:tcPr>
            <w:tcW w:type="dxa" w:w="1818"/>
            <w:shd w:val="clear" w:color="auto" w:fill="6B3524"/>
          </w:tcPr>
          <w:p>
            <w:pPr>
              <w:spacing w:after="40"/>
            </w:pPr>
            <w:r>
              <w:rPr>
                <w:b/>
                <w:color w:val="FFFFFF"/>
                <w:sz w:val="18"/>
              </w:rPr>
            </w:r>
            <w:r>
              <w:rPr>
                <w:b/>
                <w:i w:val="0"/>
                <w:color w:val="FFFFFF"/>
                <w:sz w:val="18"/>
              </w:rPr>
              <w:t>Effect on heart rate, contractility and wall tension</w:t>
            </w:r>
          </w:p>
        </w:tc>
        <w:tc>
          <w:tcPr>
            <w:tcW w:type="dxa" w:w="1818"/>
            <w:shd w:val="clear" w:color="auto" w:fill="6B3524"/>
          </w:tcPr>
          <w:p>
            <w:pPr>
              <w:spacing w:after="40"/>
            </w:pPr>
            <w:r>
              <w:rPr>
                <w:b/>
                <w:color w:val="FFFFFF"/>
                <w:sz w:val="18"/>
              </w:rPr>
            </w:r>
            <w:r>
              <w:rPr>
                <w:b/>
                <w:i w:val="0"/>
                <w:color w:val="FFFFFF"/>
                <w:sz w:val="18"/>
              </w:rPr>
              <w:t>Place in therapy and coexisting conditions</w:t>
            </w:r>
          </w:p>
        </w:tc>
        <w:tc>
          <w:tcPr>
            <w:tcW w:type="dxa" w:w="1818"/>
            <w:shd w:val="clear" w:color="auto" w:fill="6B3524"/>
          </w:tcPr>
          <w:p>
            <w:pPr>
              <w:spacing w:after="40"/>
            </w:pPr>
            <w:r>
              <w:rPr>
                <w:b/>
                <w:color w:val="FFFFFF"/>
                <w:sz w:val="18"/>
              </w:rPr>
            </w:r>
            <w:r>
              <w:rPr>
                <w:b/>
                <w:i w:val="0"/>
                <w:color w:val="FFFFFF"/>
                <w:sz w:val="18"/>
              </w:rPr>
              <w:t>Main adverse effects</w:t>
            </w:r>
          </w:p>
        </w:tc>
        <w:tc>
          <w:tcPr>
            <w:tcW w:type="dxa" w:w="1818"/>
            <w:shd w:val="clear" w:color="auto" w:fill="6B3524"/>
          </w:tcPr>
          <w:p>
            <w:pPr>
              <w:spacing w:after="40"/>
            </w:pPr>
            <w:r>
              <w:rPr>
                <w:b/>
                <w:color w:val="FFFFFF"/>
                <w:sz w:val="18"/>
              </w:rPr>
            </w:r>
            <w:r>
              <w:rPr>
                <w:b/>
                <w:i w:val="0"/>
                <w:color w:val="FFFFFF"/>
                <w:sz w:val="18"/>
              </w:rPr>
              <w:t>Do not use / avoid</w:t>
            </w:r>
          </w:p>
        </w:tc>
        <w:tc>
          <w:tcPr>
            <w:tcW w:type="dxa" w:w="1818"/>
            <w:shd w:val="clear" w:color="auto" w:fill="6B3524"/>
          </w:tcPr>
          <w:p>
            <w:pPr>
              <w:spacing w:after="40"/>
            </w:pPr>
            <w:r>
              <w:rPr>
                <w:b/>
                <w:color w:val="FFFFFF"/>
                <w:sz w:val="18"/>
              </w:rPr>
            </w:r>
            <w:r>
              <w:rPr>
                <w:b/>
                <w:i w:val="0"/>
                <w:color w:val="FFFFFF"/>
                <w:sz w:val="18"/>
              </w:rPr>
              <w:t>Patient education and monitoring</w:t>
            </w:r>
          </w:p>
        </w:tc>
        <w:tc>
          <w:tcPr>
            <w:tcW w:type="dxa" w:w="1818"/>
            <w:shd w:val="clear" w:color="auto" w:fill="6B3524"/>
          </w:tcPr>
          <w:p>
            <w:pPr>
              <w:spacing w:after="40"/>
            </w:pPr>
            <w:r>
              <w:rPr>
                <w:b/>
                <w:color w:val="FFFFFF"/>
                <w:sz w:val="18"/>
              </w:rPr>
            </w:r>
            <w:r>
              <w:rPr>
                <w:b/>
                <w:i w:val="0"/>
                <w:color w:val="FFFFFF"/>
                <w:sz w:val="18"/>
              </w:rPr>
              <w:t>Source</w:t>
            </w:r>
          </w:p>
        </w:tc>
      </w:tr>
      <w:tr>
        <w:tc>
          <w:tcPr>
            <w:tcW w:type="dxa" w:w="1818"/>
          </w:tcPr>
          <w:p>
            <w:pPr>
              <w:spacing w:after="40"/>
            </w:pPr>
            <w:r>
              <w:rPr>
                <w:sz w:val="18"/>
              </w:rPr>
            </w:r>
            <w:r>
              <w:rPr>
                <w:b/>
                <w:i w:val="0"/>
                <w:sz w:val="18"/>
              </w:rPr>
              <w:t>Beta blockers</w:t>
            </w:r>
            <w:r>
              <w:rPr>
                <w:sz w:val="18"/>
              </w:rPr>
              <w:br/>
            </w:r>
            <w:r>
              <w:rPr>
                <w:b w:val="0"/>
                <w:i w:val="0"/>
                <w:sz w:val="18"/>
              </w:rPr>
              <w:t>metoprolol, atenolol (beta-1 selective); propranolol, nadolol (non-selective); carvedilol, labetalol (third generation)</w:t>
            </w:r>
          </w:p>
        </w:tc>
        <w:tc>
          <w:tcPr>
            <w:tcW w:type="dxa" w:w="1818"/>
          </w:tcPr>
          <w:p>
            <w:pPr>
              <w:spacing w:after="40"/>
            </w:pPr>
            <w:r>
              <w:rPr>
                <w:sz w:val="18"/>
              </w:rPr>
            </w:r>
            <w:r>
              <w:rPr>
                <w:b/>
                <w:i w:val="0"/>
                <w:sz w:val="18"/>
              </w:rPr>
              <w:t>Lower oxygen demand only;</w:t>
            </w:r>
            <w:r>
              <w:rPr>
                <w:b w:val="0"/>
                <w:i w:val="0"/>
                <w:sz w:val="18"/>
              </w:rPr>
              <w:t xml:space="preserve"> no effect on oxygen supply.</w:t>
            </w:r>
          </w:p>
        </w:tc>
        <w:tc>
          <w:tcPr>
            <w:tcW w:type="dxa" w:w="1818"/>
          </w:tcPr>
          <w:p>
            <w:pPr>
              <w:spacing w:after="40"/>
            </w:pPr>
            <w:r>
              <w:rPr>
                <w:sz w:val="18"/>
              </w:rPr>
            </w:r>
            <w:r>
              <w:rPr>
                <w:b w:val="0"/>
                <w:i w:val="0"/>
                <w:sz w:val="18"/>
              </w:rPr>
              <w:t xml:space="preserve">Heart rate </w:t>
            </w:r>
            <w:r>
              <w:rPr>
                <w:b/>
                <w:i w:val="0"/>
                <w:sz w:val="18"/>
              </w:rPr>
              <w:t>falls markedly</w:t>
            </w:r>
            <w:r>
              <w:rPr>
                <w:b w:val="0"/>
                <w:i w:val="0"/>
                <w:sz w:val="18"/>
              </w:rPr>
              <w:t xml:space="preserve">; contractility falls; systolic blood pressure falls; left ventricular volume </w:t>
            </w:r>
            <w:r>
              <w:rPr>
                <w:b/>
                <w:i w:val="0"/>
                <w:sz w:val="18"/>
              </w:rPr>
              <w:t>rises</w:t>
            </w:r>
            <w:r>
              <w:rPr>
                <w:b w:val="0"/>
                <w:i w:val="0"/>
                <w:sz w:val="18"/>
              </w:rPr>
              <w:t>.</w:t>
            </w:r>
          </w:p>
        </w:tc>
        <w:tc>
          <w:tcPr>
            <w:tcW w:type="dxa" w:w="1818"/>
          </w:tcPr>
          <w:p>
            <w:pPr>
              <w:spacing w:after="40"/>
            </w:pPr>
            <w:r>
              <w:rPr>
                <w:sz w:val="18"/>
              </w:rPr>
            </w:r>
            <w:r>
              <w:rPr>
                <w:b/>
                <w:i w:val="0"/>
                <w:sz w:val="18"/>
              </w:rPr>
              <w:t>First line</w:t>
            </w:r>
            <w:r>
              <w:rPr>
                <w:b w:val="0"/>
                <w:i w:val="0"/>
                <w:sz w:val="18"/>
              </w:rPr>
              <w:t xml:space="preserve"> in the absence of contraindications. First line when there is hypertension, a prior myocardial infarction or decreased left ventricular function. In diabetes a cardioselective beta blocker is an alternative (course table). Also useful in anxiety, supraventricular arrhythmias and stable (compensated) heart failure.</w:t>
            </w:r>
          </w:p>
        </w:tc>
        <w:tc>
          <w:tcPr>
            <w:tcW w:type="dxa" w:w="1818"/>
          </w:tcPr>
          <w:p>
            <w:pPr>
              <w:spacing w:after="40"/>
            </w:pPr>
            <w:r>
              <w:rPr>
                <w:sz w:val="18"/>
              </w:rPr>
            </w:r>
            <w:r>
              <w:rPr>
                <w:b w:val="0"/>
                <w:i w:val="0"/>
                <w:sz w:val="18"/>
              </w:rPr>
              <w:t>Hypotension, bradycardia, hyperglycemia, dyslipidemia, fatigue, sexual dysfunction, nightmares, worsened claudication.</w:t>
            </w:r>
          </w:p>
        </w:tc>
        <w:tc>
          <w:tcPr>
            <w:tcW w:type="dxa" w:w="1818"/>
          </w:tcPr>
          <w:p>
            <w:pPr>
              <w:spacing w:after="40"/>
            </w:pPr>
            <w:r>
              <w:rPr>
                <w:sz w:val="18"/>
              </w:rPr>
            </w:r>
            <w:r>
              <w:rPr>
                <w:b/>
                <w:i w:val="0"/>
                <w:sz w:val="18"/>
              </w:rPr>
              <w:t>Contraindicated:</w:t>
            </w:r>
            <w:r>
              <w:rPr>
                <w:b w:val="0"/>
                <w:i w:val="0"/>
                <w:sz w:val="18"/>
              </w:rPr>
              <w:t xml:space="preserve"> heart rate below 60, systolic pressure below 100 mmHg, atrioventricular block, acute decompensated heart failure. </w:t>
            </w:r>
            <w:r>
              <w:rPr>
                <w:b/>
                <w:i w:val="0"/>
                <w:sz w:val="18"/>
              </w:rPr>
              <w:t>Avoid all beta blockers</w:t>
            </w:r>
            <w:r>
              <w:rPr>
                <w:b w:val="0"/>
                <w:i w:val="0"/>
                <w:sz w:val="18"/>
              </w:rPr>
              <w:t xml:space="preserve"> in bradycardia, atrioventricular block and </w:t>
            </w:r>
            <w:r>
              <w:rPr>
                <w:b/>
                <w:i w:val="0"/>
                <w:sz w:val="18"/>
              </w:rPr>
              <w:t>variant angina</w:t>
            </w:r>
            <w:r>
              <w:rPr>
                <w:b w:val="0"/>
                <w:i w:val="0"/>
                <w:sz w:val="18"/>
              </w:rPr>
              <w:t>; avoid non-cardioselective agents in asthma and in diabetes (course table).</w:t>
            </w:r>
          </w:p>
        </w:tc>
        <w:tc>
          <w:tcPr>
            <w:tcW w:type="dxa" w:w="1818"/>
          </w:tcPr>
          <w:p>
            <w:pPr>
              <w:spacing w:after="40"/>
            </w:pPr>
            <w:r>
              <w:rPr>
                <w:sz w:val="18"/>
              </w:rPr>
            </w:r>
            <w:r>
              <w:rPr>
                <w:b/>
                <w:i w:val="0"/>
                <w:sz w:val="18"/>
              </w:rPr>
              <w:t>Avoid rapid discontinuation</w:t>
            </w:r>
            <w:r>
              <w:rPr>
                <w:b w:val="0"/>
                <w:i w:val="0"/>
                <w:sz w:val="18"/>
              </w:rPr>
              <w:t xml:space="preserve"> (stop gradually; added background: rebound angina and myocardial infarction, with a Food and Drug Administration (FDA) boxed warning on several agents); dizziness and fatigue. Monitor heart rate, blood sugar and lipids.</w:t>
            </w:r>
          </w:p>
        </w:tc>
        <w:tc>
          <w:tcPr>
            <w:tcW w:type="dxa" w:w="1818"/>
          </w:tcPr>
          <w:p>
            <w:pPr>
              <w:spacing w:after="40"/>
            </w:pPr>
            <w:r>
              <w:rPr>
                <w:sz w:val="18"/>
              </w:rPr>
            </w:r>
            <w:r>
              <w:rPr>
                <w:b w:val="0"/>
                <w:i w:val="0"/>
                <w:sz w:val="18"/>
              </w:rPr>
              <w:t>L8</w:t>
            </w:r>
            <w:r>
              <w:rPr>
                <w:sz w:val="18"/>
              </w:rPr>
              <w:br/>
            </w:r>
            <w:r>
              <w:rPr>
                <w:b w:val="0"/>
                <w:i w:val="0"/>
                <w:sz w:val="18"/>
              </w:rPr>
              <w:t>slide 17</w:t>
            </w:r>
            <w:r>
              <w:rPr>
                <w:sz w:val="18"/>
              </w:rPr>
              <w:br/>
            </w:r>
            <w:r>
              <w:rPr>
                <w:b w:val="0"/>
                <w:i w:val="0"/>
                <w:sz w:val="18"/>
              </w:rPr>
              <w:t>slide 16</w:t>
            </w:r>
            <w:r>
              <w:rPr>
                <w:sz w:val="18"/>
              </w:rPr>
              <w:br/>
            </w:r>
            <w:r>
              <w:rPr>
                <w:b w:val="0"/>
                <w:i w:val="0"/>
                <w:sz w:val="18"/>
              </w:rPr>
              <w:t>slide 18</w:t>
            </w:r>
            <w:r>
              <w:rPr>
                <w:sz w:val="18"/>
              </w:rPr>
              <w:br/>
            </w:r>
            <w:r>
              <w:rPr>
                <w:b w:val="0"/>
                <w:i w:val="0"/>
                <w:sz w:val="18"/>
              </w:rPr>
              <w:t>slide 19</w:t>
            </w:r>
            <w:r>
              <w:rPr>
                <w:sz w:val="18"/>
              </w:rPr>
              <w:br/>
            </w:r>
            <w:r>
              <w:rPr>
                <w:b w:val="0"/>
                <w:i w:val="0"/>
                <w:sz w:val="18"/>
              </w:rPr>
              <w:t>slide 34</w:t>
            </w:r>
            <w:r>
              <w:rPr>
                <w:sz w:val="18"/>
              </w:rPr>
              <w:br/>
            </w:r>
            <w:r>
              <w:rPr>
                <w:b w:val="0"/>
                <w:i w:val="0"/>
                <w:sz w:val="18"/>
              </w:rPr>
              <w:t>slide 39</w:t>
            </w:r>
          </w:p>
        </w:tc>
      </w:tr>
      <w:tr>
        <w:tc>
          <w:tcPr>
            <w:tcW w:type="dxa" w:w="1818"/>
          </w:tcPr>
          <w:p>
            <w:pPr>
              <w:spacing w:after="40"/>
            </w:pPr>
            <w:r>
              <w:rPr>
                <w:sz w:val="18"/>
              </w:rPr>
            </w:r>
            <w:r>
              <w:rPr>
                <w:b/>
                <w:i w:val="0"/>
                <w:sz w:val="18"/>
              </w:rPr>
              <w:t>Dihydropyridine calcium channel blockers</w:t>
            </w:r>
            <w:r>
              <w:rPr>
                <w:sz w:val="18"/>
              </w:rPr>
              <w:br/>
            </w:r>
            <w:r>
              <w:rPr>
                <w:b w:val="0"/>
                <w:i w:val="0"/>
                <w:sz w:val="18"/>
              </w:rPr>
              <w:t>nifedipine, amlodipine, felodipine</w:t>
            </w:r>
          </w:p>
        </w:tc>
        <w:tc>
          <w:tcPr>
            <w:tcW w:type="dxa" w:w="1818"/>
          </w:tcPr>
          <w:p>
            <w:pPr>
              <w:spacing w:after="40"/>
            </w:pPr>
            <w:r>
              <w:rPr>
                <w:sz w:val="18"/>
              </w:rPr>
            </w:r>
            <w:r>
              <w:rPr>
                <w:b/>
                <w:i w:val="0"/>
                <w:sz w:val="18"/>
              </w:rPr>
              <w:t>Lower demand and help supply:</w:t>
            </w:r>
            <w:r>
              <w:rPr>
                <w:b w:val="0"/>
                <w:i w:val="0"/>
                <w:sz w:val="18"/>
              </w:rPr>
              <w:t xml:space="preserve"> mild dilation in areas of fixed stenosis and relief of vasospasm.</w:t>
            </w:r>
          </w:p>
        </w:tc>
        <w:tc>
          <w:tcPr>
            <w:tcW w:type="dxa" w:w="1818"/>
          </w:tcPr>
          <w:p>
            <w:pPr>
              <w:spacing w:after="40"/>
            </w:pPr>
            <w:r>
              <w:rPr>
                <w:sz w:val="18"/>
              </w:rPr>
            </w:r>
            <w:r>
              <w:rPr>
                <w:b w:val="0"/>
                <w:i w:val="0"/>
                <w:sz w:val="18"/>
              </w:rPr>
              <w:t xml:space="preserve">Heart rate </w:t>
            </w:r>
            <w:r>
              <w:rPr>
                <w:b/>
                <w:i w:val="0"/>
                <w:sz w:val="18"/>
              </w:rPr>
              <w:t>rises</w:t>
            </w:r>
            <w:r>
              <w:rPr>
                <w:b w:val="0"/>
                <w:i w:val="0"/>
                <w:sz w:val="18"/>
              </w:rPr>
              <w:t xml:space="preserve"> (reflex) with nifedipine and felodipine, but </w:t>
            </w:r>
            <w:r>
              <w:rPr>
                <w:b/>
                <w:i w:val="0"/>
                <w:sz w:val="18"/>
              </w:rPr>
              <w:t>amlodipine leaves it unchanged</w:t>
            </w:r>
            <w:r>
              <w:rPr>
                <w:b w:val="0"/>
                <w:i w:val="0"/>
                <w:sz w:val="18"/>
              </w:rPr>
              <w:t xml:space="preserve">; contractility unchanged or decreased; systolic blood pressure falls </w:t>
            </w:r>
            <w:r>
              <w:rPr>
                <w:b/>
                <w:i w:val="0"/>
                <w:sz w:val="18"/>
              </w:rPr>
              <w:t>markedly</w:t>
            </w:r>
            <w:r>
              <w:rPr>
                <w:b w:val="0"/>
                <w:i w:val="0"/>
                <w:sz w:val="18"/>
              </w:rPr>
              <w:t>; left ventricular volume unchanged or decreased. Strongest vasodilation (four plus); atrioventricular conduction unchanged.</w:t>
            </w:r>
          </w:p>
        </w:tc>
        <w:tc>
          <w:tcPr>
            <w:tcW w:type="dxa" w:w="1818"/>
          </w:tcPr>
          <w:p>
            <w:pPr>
              <w:spacing w:after="40"/>
            </w:pPr>
            <w:r>
              <w:rPr>
                <w:sz w:val="18"/>
              </w:rPr>
            </w:r>
            <w:r>
              <w:rPr>
                <w:b/>
                <w:i w:val="0"/>
                <w:sz w:val="18"/>
              </w:rPr>
              <w:t>Added to a beta blocker</w:t>
            </w:r>
            <w:r>
              <w:rPr>
                <w:b w:val="0"/>
                <w:i w:val="0"/>
                <w:sz w:val="18"/>
              </w:rPr>
              <w:t xml:space="preserve"> when the beta blocker alone is not successful; also combined with long-acting nitrates. Chosen (as a class) for </w:t>
            </w:r>
            <w:r>
              <w:rPr>
                <w:b/>
                <w:i w:val="0"/>
                <w:sz w:val="18"/>
              </w:rPr>
              <w:t>vasospastic angina</w:t>
            </w:r>
            <w:r>
              <w:rPr>
                <w:b w:val="0"/>
                <w:i w:val="0"/>
                <w:sz w:val="18"/>
              </w:rPr>
              <w:t xml:space="preserve">, asthma, severe peripheral vascular disease and uncontrolled diabetes; left ventricular dysfunction is dihydropyridines only. First line in </w:t>
            </w:r>
            <w:r>
              <w:rPr>
                <w:b/>
                <w:i w:val="0"/>
                <w:sz w:val="18"/>
              </w:rPr>
              <w:t>bradycardia or atrioventricular block</w:t>
            </w:r>
            <w:r>
              <w:rPr>
                <w:b w:val="0"/>
                <w:i w:val="0"/>
                <w:sz w:val="18"/>
              </w:rPr>
              <w:t>. Amlodipine is the alternative in decreased left ventricular function.</w:t>
            </w:r>
          </w:p>
        </w:tc>
        <w:tc>
          <w:tcPr>
            <w:tcW w:type="dxa" w:w="1818"/>
          </w:tcPr>
          <w:p>
            <w:pPr>
              <w:spacing w:after="40"/>
            </w:pPr>
            <w:r>
              <w:rPr>
                <w:sz w:val="18"/>
              </w:rPr>
            </w:r>
            <w:r>
              <w:rPr>
                <w:b w:val="0"/>
                <w:i w:val="0"/>
                <w:sz w:val="18"/>
              </w:rPr>
              <w:t xml:space="preserve">Hypotension, </w:t>
            </w:r>
            <w:r>
              <w:rPr>
                <w:b/>
                <w:i w:val="0"/>
                <w:sz w:val="18"/>
              </w:rPr>
              <w:t>headache, flushing, peripheral edema</w:t>
            </w:r>
            <w:r>
              <w:rPr>
                <w:b w:val="0"/>
                <w:i w:val="0"/>
                <w:sz w:val="18"/>
              </w:rPr>
              <w:t>.</w:t>
            </w:r>
          </w:p>
        </w:tc>
        <w:tc>
          <w:tcPr>
            <w:tcW w:type="dxa" w:w="1818"/>
          </w:tcPr>
          <w:p>
            <w:pPr>
              <w:spacing w:after="40"/>
            </w:pPr>
            <w:r>
              <w:rPr>
                <w:sz w:val="18"/>
              </w:rPr>
            </w:r>
            <w:r>
              <w:rPr>
                <w:b/>
                <w:i w:val="0"/>
                <w:sz w:val="18"/>
              </w:rPr>
              <w:t>Avoid short-acting agents</w:t>
            </w:r>
            <w:r>
              <w:rPr>
                <w:b w:val="0"/>
                <w:i w:val="0"/>
                <w:sz w:val="18"/>
              </w:rPr>
              <w:t xml:space="preserve"> (nifedipine). Contraindicated with systolic pressure below 100 mmHg. Avoid calcium channel blockers other than amlodipine in decreased left ventricular function. </w:t>
            </w:r>
            <w:r>
              <w:rPr>
                <w:b/>
                <w:i w:val="0"/>
                <w:sz w:val="18"/>
              </w:rPr>
              <w:t>After a myocardial infarction the course table says to avoid calcium channel blockers</w:t>
            </w:r>
            <w:r>
              <w:rPr>
                <w:b w:val="0"/>
                <w:i w:val="0"/>
                <w:sz w:val="18"/>
              </w:rPr>
              <w:t xml:space="preserve"> (current practice allows a non-dihydropyridine when a beta blocker cannot be used).</w:t>
            </w:r>
          </w:p>
        </w:tc>
        <w:tc>
          <w:tcPr>
            <w:tcW w:type="dxa" w:w="1818"/>
          </w:tcPr>
          <w:p>
            <w:pPr>
              <w:spacing w:after="40"/>
            </w:pPr>
            <w:r>
              <w:rPr>
                <w:sz w:val="18"/>
              </w:rPr>
            </w:r>
            <w:r>
              <w:rPr>
                <w:b w:val="0"/>
                <w:i w:val="0"/>
                <w:sz w:val="18"/>
              </w:rPr>
              <w:t>Dizziness; monitor relief of symptoms. Cytochrome P450 3A4 (CYP3A4) interactions.</w:t>
            </w:r>
          </w:p>
        </w:tc>
        <w:tc>
          <w:tcPr>
            <w:tcW w:type="dxa" w:w="1818"/>
          </w:tcPr>
          <w:p>
            <w:pPr>
              <w:spacing w:after="40"/>
            </w:pPr>
            <w:r>
              <w:rPr>
                <w:sz w:val="18"/>
              </w:rPr>
            </w:r>
            <w:r>
              <w:rPr>
                <w:b w:val="0"/>
                <w:i w:val="0"/>
                <w:sz w:val="18"/>
              </w:rPr>
              <w:t>L8</w:t>
            </w:r>
            <w:r>
              <w:rPr>
                <w:sz w:val="18"/>
              </w:rPr>
              <w:br/>
            </w:r>
            <w:r>
              <w:rPr>
                <w:b w:val="0"/>
                <w:i w:val="0"/>
                <w:sz w:val="18"/>
              </w:rPr>
              <w:t>slide 22</w:t>
            </w:r>
            <w:r>
              <w:rPr>
                <w:sz w:val="18"/>
              </w:rPr>
              <w:br/>
            </w:r>
            <w:r>
              <w:rPr>
                <w:b w:val="0"/>
                <w:i w:val="0"/>
                <w:sz w:val="18"/>
              </w:rPr>
              <w:t>slide 20</w:t>
            </w:r>
            <w:r>
              <w:rPr>
                <w:sz w:val="18"/>
              </w:rPr>
              <w:br/>
            </w:r>
            <w:r>
              <w:rPr>
                <w:b w:val="0"/>
                <w:i w:val="0"/>
                <w:sz w:val="18"/>
              </w:rPr>
              <w:t>slide 21</w:t>
            </w:r>
            <w:r>
              <w:rPr>
                <w:sz w:val="18"/>
              </w:rPr>
              <w:br/>
            </w:r>
            <w:r>
              <w:rPr>
                <w:b w:val="0"/>
                <w:i w:val="0"/>
                <w:sz w:val="18"/>
              </w:rPr>
              <w:t>slide 23</w:t>
            </w:r>
            <w:r>
              <w:rPr>
                <w:sz w:val="18"/>
              </w:rPr>
              <w:br/>
            </w:r>
            <w:r>
              <w:rPr>
                <w:b w:val="0"/>
                <w:i w:val="0"/>
                <w:sz w:val="18"/>
              </w:rPr>
              <w:t>slide 24</w:t>
            </w:r>
            <w:r>
              <w:rPr>
                <w:sz w:val="18"/>
              </w:rPr>
              <w:br/>
            </w:r>
            <w:r>
              <w:rPr>
                <w:b w:val="0"/>
                <w:i w:val="0"/>
                <w:sz w:val="18"/>
              </w:rPr>
              <w:t>slide 34</w:t>
            </w:r>
          </w:p>
        </w:tc>
      </w:tr>
      <w:tr>
        <w:tc>
          <w:tcPr>
            <w:tcW w:type="dxa" w:w="1818"/>
          </w:tcPr>
          <w:p>
            <w:pPr>
              <w:spacing w:after="40"/>
            </w:pPr>
            <w:r>
              <w:rPr>
                <w:sz w:val="18"/>
              </w:rPr>
            </w:r>
            <w:r>
              <w:rPr>
                <w:b/>
                <w:i w:val="0"/>
                <w:sz w:val="18"/>
              </w:rPr>
              <w:t>Non-dihydropyridine calcium channel blockers</w:t>
            </w:r>
            <w:r>
              <w:rPr>
                <w:sz w:val="18"/>
              </w:rPr>
              <w:br/>
            </w:r>
            <w:r>
              <w:rPr>
                <w:b w:val="0"/>
                <w:i w:val="0"/>
                <w:sz w:val="18"/>
              </w:rPr>
              <w:t>diltiazem, verapamil</w:t>
            </w:r>
          </w:p>
        </w:tc>
        <w:tc>
          <w:tcPr>
            <w:tcW w:type="dxa" w:w="1818"/>
          </w:tcPr>
          <w:p>
            <w:pPr>
              <w:spacing w:after="40"/>
            </w:pPr>
            <w:r>
              <w:rPr>
                <w:sz w:val="18"/>
              </w:rPr>
            </w:r>
            <w:r>
              <w:rPr>
                <w:b/>
                <w:i w:val="0"/>
                <w:sz w:val="18"/>
              </w:rPr>
              <w:t>Lower demand and help supply:</w:t>
            </w:r>
            <w:r>
              <w:rPr>
                <w:b w:val="0"/>
                <w:i w:val="0"/>
                <w:sz w:val="18"/>
              </w:rPr>
              <w:t xml:space="preserve"> mild dilation in areas of fixed stenosis and relief of vasospasm; act on the heart as well as the vessels.</w:t>
            </w:r>
          </w:p>
        </w:tc>
        <w:tc>
          <w:tcPr>
            <w:tcW w:type="dxa" w:w="1818"/>
          </w:tcPr>
          <w:p>
            <w:pPr>
              <w:spacing w:after="40"/>
            </w:pPr>
            <w:r>
              <w:rPr>
                <w:sz w:val="18"/>
              </w:rPr>
            </w:r>
            <w:r>
              <w:rPr>
                <w:b w:val="0"/>
                <w:i w:val="0"/>
                <w:sz w:val="18"/>
              </w:rPr>
              <w:t xml:space="preserve">Heart rate </w:t>
            </w:r>
            <w:r>
              <w:rPr>
                <w:b/>
                <w:i w:val="0"/>
                <w:sz w:val="18"/>
              </w:rPr>
              <w:t>falls</w:t>
            </w:r>
            <w:r>
              <w:rPr>
                <w:b w:val="0"/>
                <w:i w:val="0"/>
                <w:sz w:val="18"/>
              </w:rPr>
              <w:t xml:space="preserve">; contractility </w:t>
            </w:r>
            <w:r>
              <w:rPr>
                <w:b/>
                <w:i w:val="0"/>
                <w:sz w:val="18"/>
              </w:rPr>
              <w:t>falls</w:t>
            </w:r>
            <w:r>
              <w:rPr>
                <w:b w:val="0"/>
                <w:i w:val="0"/>
                <w:sz w:val="18"/>
              </w:rPr>
              <w:t xml:space="preserve">; systolic blood pressure falls; left ventricular volume unchanged or decreased. Moderate vasodilation (two plus); </w:t>
            </w:r>
            <w:r>
              <w:rPr>
                <w:b/>
                <w:i w:val="0"/>
                <w:sz w:val="18"/>
              </w:rPr>
              <w:t>atrioventricular conduction falls</w:t>
            </w:r>
            <w:r>
              <w:rPr>
                <w:b w:val="0"/>
                <w:i w:val="0"/>
                <w:sz w:val="18"/>
              </w:rPr>
              <w:t xml:space="preserve"> (verapamil the most).</w:t>
            </w:r>
          </w:p>
        </w:tc>
        <w:tc>
          <w:tcPr>
            <w:tcW w:type="dxa" w:w="1818"/>
          </w:tcPr>
          <w:p>
            <w:pPr>
              <w:spacing w:after="40"/>
            </w:pPr>
            <w:r>
              <w:rPr>
                <w:sz w:val="18"/>
              </w:rPr>
            </w:r>
            <w:r>
              <w:rPr>
                <w:b/>
                <w:i w:val="0"/>
                <w:sz w:val="18"/>
              </w:rPr>
              <w:t>Initial therapy</w:t>
            </w:r>
            <w:r>
              <w:rPr>
                <w:b w:val="0"/>
                <w:i w:val="0"/>
                <w:sz w:val="18"/>
              </w:rPr>
              <w:t xml:space="preserve"> when beta blockers are contraindicated or not tolerated. Chosen (as a class) for vasospastic angina, asthma, severe peripheral vascular disease and uncontrolled diabetes (not for left ventricular dysfunction). </w:t>
            </w:r>
            <w:r>
              <w:rPr>
                <w:b/>
                <w:i w:val="0"/>
                <w:sz w:val="18"/>
              </w:rPr>
              <w:t>First line in diabetes</w:t>
            </w:r>
            <w:r>
              <w:rPr>
                <w:b w:val="0"/>
                <w:i w:val="0"/>
                <w:sz w:val="18"/>
              </w:rPr>
              <w:t xml:space="preserve"> when there is no other reason for a beta blocker (course table; current practice also accepts a cardioselective beta blocker). Avoid in bradycardia or atrioventricular block.</w:t>
            </w:r>
          </w:p>
        </w:tc>
        <w:tc>
          <w:tcPr>
            <w:tcW w:type="dxa" w:w="1818"/>
          </w:tcPr>
          <w:p>
            <w:pPr>
              <w:spacing w:after="40"/>
            </w:pPr>
            <w:r>
              <w:rPr>
                <w:sz w:val="18"/>
              </w:rPr>
            </w:r>
            <w:r>
              <w:rPr>
                <w:b w:val="0"/>
                <w:i w:val="0"/>
                <w:sz w:val="18"/>
              </w:rPr>
              <w:t>Hypotension; slowed heart rate and atrioventricular conduction.</w:t>
            </w:r>
          </w:p>
        </w:tc>
        <w:tc>
          <w:tcPr>
            <w:tcW w:type="dxa" w:w="1818"/>
          </w:tcPr>
          <w:p>
            <w:pPr>
              <w:spacing w:after="40"/>
            </w:pPr>
            <w:r>
              <w:rPr>
                <w:sz w:val="18"/>
              </w:rPr>
            </w:r>
            <w:r>
              <w:rPr>
                <w:b/>
                <w:i w:val="0"/>
                <w:sz w:val="18"/>
              </w:rPr>
              <w:t>Contraindicated:</w:t>
            </w:r>
            <w:r>
              <w:rPr>
                <w:b w:val="0"/>
                <w:i w:val="0"/>
                <w:sz w:val="18"/>
              </w:rPr>
              <w:t xml:space="preserve"> systolic pressure below 100 mmHg, heart rate below 60, acute heart failure, ejection fraction below 40 percent. </w:t>
            </w:r>
            <w:r>
              <w:rPr>
                <w:b/>
                <w:i w:val="0"/>
                <w:sz w:val="18"/>
              </w:rPr>
              <w:t>Caution</w:t>
            </w:r>
            <w:r>
              <w:rPr>
                <w:b w:val="0"/>
                <w:i w:val="0"/>
                <w:sz w:val="18"/>
              </w:rPr>
              <w:t xml:space="preserve"> with a concurrent beta blocker. </w:t>
            </w:r>
            <w:r>
              <w:rPr>
                <w:b/>
                <w:i w:val="0"/>
                <w:sz w:val="18"/>
              </w:rPr>
              <w:t>After a myocardial infarction the course table says to avoid calcium channel blockers.</w:t>
            </w:r>
          </w:p>
        </w:tc>
        <w:tc>
          <w:tcPr>
            <w:tcW w:type="dxa" w:w="1818"/>
          </w:tcPr>
          <w:p>
            <w:pPr>
              <w:spacing w:after="40"/>
            </w:pPr>
            <w:r>
              <w:rPr>
                <w:sz w:val="18"/>
              </w:rPr>
            </w:r>
            <w:r>
              <w:rPr>
                <w:b/>
                <w:i w:val="0"/>
                <w:sz w:val="18"/>
              </w:rPr>
              <w:t>Monitor heart rate.</w:t>
            </w:r>
            <w:r>
              <w:rPr>
                <w:b w:val="0"/>
                <w:i w:val="0"/>
                <w:sz w:val="18"/>
              </w:rPr>
              <w:t xml:space="preserve"> Dizziness and constipation. Cytochrome P450 3A4 (CYP3A4) interactions.</w:t>
            </w:r>
          </w:p>
        </w:tc>
        <w:tc>
          <w:tcPr>
            <w:tcW w:type="dxa" w:w="1818"/>
          </w:tcPr>
          <w:p>
            <w:pPr>
              <w:spacing w:after="40"/>
            </w:pPr>
            <w:r>
              <w:rPr>
                <w:sz w:val="18"/>
              </w:rPr>
            </w:r>
            <w:r>
              <w:rPr>
                <w:b w:val="0"/>
                <w:i w:val="0"/>
                <w:sz w:val="18"/>
              </w:rPr>
              <w:t>L8</w:t>
            </w:r>
            <w:r>
              <w:rPr>
                <w:sz w:val="18"/>
              </w:rPr>
              <w:br/>
            </w:r>
            <w:r>
              <w:rPr>
                <w:b w:val="0"/>
                <w:i w:val="0"/>
                <w:sz w:val="18"/>
              </w:rPr>
              <w:t>slide 22</w:t>
            </w:r>
            <w:r>
              <w:rPr>
                <w:sz w:val="18"/>
              </w:rPr>
              <w:br/>
            </w:r>
            <w:r>
              <w:rPr>
                <w:b w:val="0"/>
                <w:i w:val="0"/>
                <w:sz w:val="18"/>
              </w:rPr>
              <w:t>slide 20</w:t>
            </w:r>
            <w:r>
              <w:rPr>
                <w:sz w:val="18"/>
              </w:rPr>
              <w:br/>
            </w:r>
            <w:r>
              <w:rPr>
                <w:b w:val="0"/>
                <w:i w:val="0"/>
                <w:sz w:val="18"/>
              </w:rPr>
              <w:t>slide 21</w:t>
            </w:r>
            <w:r>
              <w:rPr>
                <w:sz w:val="18"/>
              </w:rPr>
              <w:br/>
            </w:r>
            <w:r>
              <w:rPr>
                <w:b w:val="0"/>
                <w:i w:val="0"/>
                <w:sz w:val="18"/>
              </w:rPr>
              <w:t>slide 23</w:t>
            </w:r>
            <w:r>
              <w:rPr>
                <w:sz w:val="18"/>
              </w:rPr>
              <w:br/>
            </w:r>
            <w:r>
              <w:rPr>
                <w:b w:val="0"/>
                <w:i w:val="0"/>
                <w:sz w:val="18"/>
              </w:rPr>
              <w:t>slide 24</w:t>
            </w:r>
            <w:r>
              <w:rPr>
                <w:sz w:val="18"/>
              </w:rPr>
              <w:br/>
            </w:r>
            <w:r>
              <w:rPr>
                <w:b w:val="0"/>
                <w:i w:val="0"/>
                <w:sz w:val="18"/>
              </w:rPr>
              <w:t>slide 34</w:t>
            </w:r>
          </w:p>
        </w:tc>
      </w:tr>
      <w:tr>
        <w:tc>
          <w:tcPr>
            <w:tcW w:type="dxa" w:w="1818"/>
          </w:tcPr>
          <w:p>
            <w:pPr>
              <w:spacing w:after="40"/>
            </w:pPr>
            <w:r>
              <w:rPr>
                <w:sz w:val="18"/>
              </w:rPr>
            </w:r>
            <w:r>
              <w:rPr>
                <w:b/>
                <w:i w:val="0"/>
                <w:sz w:val="18"/>
              </w:rPr>
              <w:t>Short-acting nitrates</w:t>
            </w:r>
            <w:r>
              <w:rPr>
                <w:sz w:val="18"/>
              </w:rPr>
              <w:br/>
            </w:r>
            <w:r>
              <w:rPr>
                <w:b w:val="0"/>
                <w:i w:val="0"/>
                <w:sz w:val="18"/>
              </w:rPr>
              <w:t>nitroglycerin sublingual tablet (Nitrostat) or lingual spray (Nitrolingual Pumpspray)</w:t>
            </w:r>
          </w:p>
        </w:tc>
        <w:tc>
          <w:tcPr>
            <w:tcW w:type="dxa" w:w="1818"/>
          </w:tcPr>
          <w:p>
            <w:pPr>
              <w:spacing w:after="40"/>
            </w:pPr>
            <w:r>
              <w:rPr>
                <w:sz w:val="18"/>
              </w:rPr>
            </w:r>
            <w:r>
              <w:rPr>
                <w:b w:val="0"/>
                <w:i w:val="0"/>
                <w:sz w:val="18"/>
              </w:rPr>
              <w:t xml:space="preserve">Nitric oxide raises cyclic guanosine monophosphate (cGMP), lowering cytosolic calcium: </w:t>
            </w:r>
            <w:r>
              <w:rPr>
                <w:b/>
                <w:i w:val="0"/>
                <w:sz w:val="18"/>
              </w:rPr>
              <w:t>vasodilation</w:t>
            </w:r>
            <w:r>
              <w:rPr>
                <w:b w:val="0"/>
                <w:i w:val="0"/>
                <w:sz w:val="18"/>
              </w:rPr>
              <w:t>. Supply: dilating coronary arteries, relief of vasospasm, antithrombotic and antiplatelet effects.</w:t>
            </w:r>
          </w:p>
        </w:tc>
        <w:tc>
          <w:tcPr>
            <w:tcW w:type="dxa" w:w="1818"/>
          </w:tcPr>
          <w:p>
            <w:pPr>
              <w:spacing w:after="40"/>
            </w:pPr>
            <w:r>
              <w:rPr>
                <w:sz w:val="18"/>
              </w:rPr>
            </w:r>
            <w:r>
              <w:rPr>
                <w:b w:val="0"/>
                <w:i w:val="0"/>
                <w:sz w:val="18"/>
              </w:rPr>
              <w:t xml:space="preserve">Heart rate </w:t>
            </w:r>
            <w:r>
              <w:rPr>
                <w:b/>
                <w:i w:val="0"/>
                <w:sz w:val="18"/>
              </w:rPr>
              <w:t>rises</w:t>
            </w:r>
            <w:r>
              <w:rPr>
                <w:b w:val="0"/>
                <w:i w:val="0"/>
                <w:sz w:val="18"/>
              </w:rPr>
              <w:t xml:space="preserve">; systolic blood pressure falls; left ventricular volume falls </w:t>
            </w:r>
            <w:r>
              <w:rPr>
                <w:b/>
                <w:i w:val="0"/>
                <w:sz w:val="18"/>
              </w:rPr>
              <w:t>markedly</w:t>
            </w:r>
            <w:r>
              <w:rPr>
                <w:b w:val="0"/>
                <w:i w:val="0"/>
                <w:sz w:val="18"/>
              </w:rPr>
              <w:t xml:space="preserve"> (less preload).</w:t>
            </w:r>
          </w:p>
        </w:tc>
        <w:tc>
          <w:tcPr>
            <w:tcW w:type="dxa" w:w="1818"/>
          </w:tcPr>
          <w:p>
            <w:pPr>
              <w:spacing w:after="40"/>
            </w:pPr>
            <w:r>
              <w:rPr>
                <w:sz w:val="18"/>
              </w:rPr>
            </w:r>
            <w:r>
              <w:rPr>
                <w:b/>
                <w:i w:val="0"/>
                <w:sz w:val="18"/>
              </w:rPr>
              <w:t>Rescue:</w:t>
            </w:r>
            <w:r>
              <w:rPr>
                <w:b w:val="0"/>
                <w:i w:val="0"/>
                <w:sz w:val="18"/>
              </w:rPr>
              <w:t xml:space="preserve"> relieve acute symptoms and prevent effort-induced angina. Sublingual nitroglycerin for acute relief.</w:t>
            </w:r>
          </w:p>
        </w:tc>
        <w:tc>
          <w:tcPr>
            <w:tcW w:type="dxa" w:w="1818"/>
          </w:tcPr>
          <w:p>
            <w:pPr>
              <w:spacing w:after="40"/>
            </w:pPr>
            <w:r>
              <w:rPr>
                <w:sz w:val="18"/>
              </w:rPr>
            </w:r>
            <w:r>
              <w:rPr>
                <w:b w:val="0"/>
                <w:i w:val="0"/>
                <w:sz w:val="18"/>
              </w:rPr>
              <w:t>Hypotension (orthostatic), headache, reflex tachycardia.</w:t>
            </w:r>
          </w:p>
        </w:tc>
        <w:tc>
          <w:tcPr>
            <w:tcW w:type="dxa" w:w="1818"/>
          </w:tcPr>
          <w:p>
            <w:pPr>
              <w:spacing w:after="40"/>
            </w:pPr>
            <w:r>
              <w:rPr>
                <w:sz w:val="18"/>
              </w:rPr>
            </w:r>
            <w:r>
              <w:rPr>
                <w:b/>
                <w:i w:val="0"/>
                <w:sz w:val="18"/>
              </w:rPr>
              <w:t>Contraindicated:</w:t>
            </w:r>
            <w:r>
              <w:rPr>
                <w:b w:val="0"/>
                <w:i w:val="0"/>
                <w:sz w:val="18"/>
              </w:rPr>
              <w:t xml:space="preserve"> </w:t>
            </w:r>
            <w:r>
              <w:rPr>
                <w:b/>
                <w:i w:val="0"/>
                <w:sz w:val="18"/>
              </w:rPr>
              <w:t>phosphodiesterase type 5 inhibitors</w:t>
            </w:r>
            <w:r>
              <w:rPr>
                <w:b w:val="0"/>
                <w:i w:val="0"/>
                <w:sz w:val="18"/>
              </w:rPr>
              <w:t xml:space="preserve"> (sildenafil, tadalafil, vardenafil) and hypotension. </w:t>
            </w:r>
            <w:r>
              <w:rPr>
                <w:b/>
                <w:i w:val="0"/>
                <w:sz w:val="18"/>
              </w:rPr>
              <w:t>Avoid</w:t>
            </w:r>
            <w:r>
              <w:rPr>
                <w:b w:val="0"/>
                <w:i w:val="0"/>
                <w:sz w:val="18"/>
              </w:rPr>
              <w:t xml:space="preserve"> in severe aortic valve stenosis and obstructive cardiomyopathy.</w:t>
            </w:r>
          </w:p>
        </w:tc>
        <w:tc>
          <w:tcPr>
            <w:tcW w:type="dxa" w:w="1818"/>
          </w:tcPr>
          <w:p>
            <w:pPr>
              <w:spacing w:after="40"/>
            </w:pPr>
            <w:r>
              <w:rPr>
                <w:sz w:val="18"/>
              </w:rPr>
            </w:r>
            <w:r>
              <w:rPr>
                <w:b w:val="0"/>
                <w:i w:val="0"/>
                <w:sz w:val="18"/>
              </w:rPr>
              <w:t xml:space="preserve">Store in the original container in a cool, dry place; </w:t>
            </w:r>
            <w:r>
              <w:rPr>
                <w:b/>
                <w:i w:val="0"/>
                <w:sz w:val="18"/>
              </w:rPr>
              <w:t>course rule: replace tablets 3–6 months after opening</w:t>
            </w:r>
            <w:r>
              <w:rPr>
                <w:b w:val="0"/>
                <w:i w:val="0"/>
                <w:sz w:val="18"/>
              </w:rPr>
              <w:t xml:space="preserve"> (current labeling uses the expiration date if kept in the tightly closed original glass container); apply or spray under the tongue; warn about orthostatic hypotension; </w:t>
            </w:r>
            <w:r>
              <w:rPr>
                <w:b/>
                <w:i w:val="0"/>
                <w:sz w:val="18"/>
              </w:rPr>
              <w:t>call emergency medical services if there is no relief 5 minutes after the first dose</w:t>
            </w:r>
            <w:r>
              <w:rPr>
                <w:b w:val="0"/>
                <w:i w:val="0"/>
                <w:sz w:val="18"/>
              </w:rPr>
              <w:t>.</w:t>
            </w:r>
          </w:p>
        </w:tc>
        <w:tc>
          <w:tcPr>
            <w:tcW w:type="dxa" w:w="1818"/>
          </w:tcPr>
          <w:p>
            <w:pPr>
              <w:spacing w:after="40"/>
            </w:pPr>
            <w:r>
              <w:rPr>
                <w:sz w:val="18"/>
              </w:rPr>
            </w:r>
            <w:r>
              <w:rPr>
                <w:b w:val="0"/>
                <w:i w:val="0"/>
                <w:sz w:val="18"/>
              </w:rPr>
              <w:t>L8</w:t>
            </w:r>
            <w:r>
              <w:rPr>
                <w:sz w:val="18"/>
              </w:rPr>
              <w:br/>
            </w:r>
            <w:r>
              <w:rPr>
                <w:b w:val="0"/>
                <w:i w:val="0"/>
                <w:sz w:val="18"/>
              </w:rPr>
              <w:t>slide 27</w:t>
            </w:r>
            <w:r>
              <w:rPr>
                <w:sz w:val="18"/>
              </w:rPr>
              <w:br/>
            </w:r>
            <w:r>
              <w:rPr>
                <w:b w:val="0"/>
                <w:i w:val="0"/>
                <w:sz w:val="18"/>
              </w:rPr>
              <w:t>slide 25</w:t>
            </w:r>
            <w:r>
              <w:rPr>
                <w:sz w:val="18"/>
              </w:rPr>
              <w:br/>
            </w:r>
            <w:r>
              <w:rPr>
                <w:b w:val="0"/>
                <w:i w:val="0"/>
                <w:sz w:val="18"/>
              </w:rPr>
              <w:t>slide 26</w:t>
            </w:r>
            <w:r>
              <w:rPr>
                <w:sz w:val="18"/>
              </w:rPr>
              <w:br/>
            </w:r>
            <w:r>
              <w:rPr>
                <w:b w:val="0"/>
                <w:i w:val="0"/>
                <w:sz w:val="18"/>
              </w:rPr>
              <w:t>slide 28</w:t>
            </w:r>
            <w:r>
              <w:rPr>
                <w:sz w:val="18"/>
              </w:rPr>
              <w:br/>
            </w:r>
            <w:r>
              <w:rPr>
                <w:b w:val="0"/>
                <w:i w:val="0"/>
                <w:sz w:val="18"/>
              </w:rPr>
              <w:t>slide 33</w:t>
            </w:r>
            <w:r>
              <w:rPr>
                <w:sz w:val="18"/>
              </w:rPr>
              <w:br/>
            </w:r>
            <w:r>
              <w:rPr>
                <w:b w:val="0"/>
                <w:i w:val="0"/>
                <w:sz w:val="18"/>
              </w:rPr>
              <w:t>slide 54</w:t>
            </w:r>
          </w:p>
        </w:tc>
      </w:tr>
      <w:tr>
        <w:tc>
          <w:tcPr>
            <w:tcW w:type="dxa" w:w="1818"/>
          </w:tcPr>
          <w:p>
            <w:pPr>
              <w:spacing w:after="40"/>
            </w:pPr>
            <w:r>
              <w:rPr>
                <w:sz w:val="18"/>
              </w:rPr>
            </w:r>
            <w:r>
              <w:rPr>
                <w:b/>
                <w:i w:val="0"/>
                <w:sz w:val="18"/>
              </w:rPr>
              <w:t>Long-acting nitrates</w:t>
            </w:r>
            <w:r>
              <w:rPr>
                <w:sz w:val="18"/>
              </w:rPr>
              <w:br/>
            </w:r>
            <w:r>
              <w:rPr>
                <w:b w:val="0"/>
                <w:i w:val="0"/>
                <w:sz w:val="18"/>
              </w:rPr>
              <w:t>isosorbide mononitrate (Imdur), isosorbide dinitrate; nitroglycerin ointment and patch</w:t>
            </w:r>
          </w:p>
        </w:tc>
        <w:tc>
          <w:tcPr>
            <w:tcW w:type="dxa" w:w="1818"/>
          </w:tcPr>
          <w:p>
            <w:pPr>
              <w:spacing w:after="40"/>
            </w:pPr>
            <w:r>
              <w:rPr>
                <w:sz w:val="18"/>
              </w:rPr>
            </w:r>
            <w:r>
              <w:rPr>
                <w:b w:val="0"/>
                <w:i w:val="0"/>
                <w:sz w:val="18"/>
              </w:rPr>
              <w:t>Same nitric oxide and cyclic guanosine monophosphate mechanism as the short-acting forms: vasodilation, preload reduction and coronary dilation.</w:t>
            </w:r>
          </w:p>
        </w:tc>
        <w:tc>
          <w:tcPr>
            <w:tcW w:type="dxa" w:w="1818"/>
          </w:tcPr>
          <w:p>
            <w:pPr>
              <w:spacing w:after="40"/>
            </w:pPr>
            <w:r>
              <w:rPr>
                <w:sz w:val="18"/>
              </w:rPr>
            </w:r>
            <w:r>
              <w:rPr>
                <w:b w:val="0"/>
                <w:i w:val="0"/>
                <w:sz w:val="18"/>
              </w:rPr>
              <w:t>Same pattern as the short-acting nitrates: heart rate rises, systolic blood pressure falls, left ventricular volume falls markedly.</w:t>
            </w:r>
          </w:p>
        </w:tc>
        <w:tc>
          <w:tcPr>
            <w:tcW w:type="dxa" w:w="1818"/>
          </w:tcPr>
          <w:p>
            <w:pPr>
              <w:spacing w:after="40"/>
            </w:pPr>
            <w:r>
              <w:rPr>
                <w:sz w:val="18"/>
              </w:rPr>
            </w:r>
            <w:r>
              <w:rPr>
                <w:b/>
                <w:i w:val="0"/>
                <w:sz w:val="18"/>
              </w:rPr>
              <w:t>Usually an adjunct and not recommended as monotherapy;</w:t>
            </w:r>
            <w:r>
              <w:rPr>
                <w:b w:val="0"/>
                <w:i w:val="0"/>
                <w:sz w:val="18"/>
              </w:rPr>
              <w:t xml:space="preserve"> allowed as initial therapy when beta blockers and calcium channel blockers are contraindicated or not tolerated, otherwise added to them. Mononitrate lasts 12 hours (once daily); dinitrate 3–6 hours (three times daily). Useful in variant angina.</w:t>
            </w:r>
          </w:p>
        </w:tc>
        <w:tc>
          <w:tcPr>
            <w:tcW w:type="dxa" w:w="1818"/>
          </w:tcPr>
          <w:p>
            <w:pPr>
              <w:spacing w:after="40"/>
            </w:pPr>
            <w:r>
              <w:rPr>
                <w:sz w:val="18"/>
              </w:rPr>
            </w:r>
            <w:r>
              <w:rPr>
                <w:b w:val="0"/>
                <w:i w:val="0"/>
                <w:sz w:val="18"/>
              </w:rPr>
              <w:t xml:space="preserve">Headache, flushing, postural hypotension, reflex tachycardia; </w:t>
            </w:r>
            <w:r>
              <w:rPr>
                <w:b/>
                <w:i w:val="0"/>
                <w:sz w:val="18"/>
              </w:rPr>
              <w:t>tolerance (tachyphylaxis)</w:t>
            </w:r>
            <w:r>
              <w:rPr>
                <w:b w:val="0"/>
                <w:i w:val="0"/>
                <w:sz w:val="18"/>
              </w:rPr>
              <w:t>.</w:t>
            </w:r>
          </w:p>
        </w:tc>
        <w:tc>
          <w:tcPr>
            <w:tcW w:type="dxa" w:w="1818"/>
          </w:tcPr>
          <w:p>
            <w:pPr>
              <w:spacing w:after="40"/>
            </w:pPr>
            <w:r>
              <w:rPr>
                <w:sz w:val="18"/>
              </w:rPr>
            </w:r>
            <w:r>
              <w:rPr>
                <w:b/>
                <w:i w:val="0"/>
                <w:sz w:val="18"/>
              </w:rPr>
              <w:t>Contraindicated:</w:t>
            </w:r>
            <w:r>
              <w:rPr>
                <w:b w:val="0"/>
                <w:i w:val="0"/>
                <w:sz w:val="18"/>
              </w:rPr>
              <w:t xml:space="preserve"> phosphodiesterase type 5 inhibitors. </w:t>
            </w:r>
            <w:r>
              <w:rPr>
                <w:b/>
                <w:i w:val="0"/>
                <w:sz w:val="18"/>
              </w:rPr>
              <w:t>Avoid</w:t>
            </w:r>
            <w:r>
              <w:rPr>
                <w:b w:val="0"/>
                <w:i w:val="0"/>
                <w:sz w:val="18"/>
              </w:rPr>
              <w:t xml:space="preserve"> in severe aortic valve stenosis and obstructive cardiomyopathy.</w:t>
            </w:r>
          </w:p>
        </w:tc>
        <w:tc>
          <w:tcPr>
            <w:tcW w:type="dxa" w:w="1818"/>
          </w:tcPr>
          <w:p>
            <w:pPr>
              <w:spacing w:after="40"/>
            </w:pPr>
            <w:r>
              <w:rPr>
                <w:sz w:val="18"/>
              </w:rPr>
            </w:r>
            <w:r>
              <w:rPr>
                <w:b/>
                <w:i w:val="0"/>
                <w:sz w:val="18"/>
              </w:rPr>
              <w:t>Nitrate-free interval</w:t>
            </w:r>
            <w:r>
              <w:rPr>
                <w:b w:val="0"/>
                <w:i w:val="0"/>
                <w:sz w:val="18"/>
              </w:rPr>
              <w:t>: patch or ointment 12 hours on, 12 hours off; wipe off the old ointment before applying the new one; keep covered with applicator paper.</w:t>
            </w:r>
          </w:p>
        </w:tc>
        <w:tc>
          <w:tcPr>
            <w:tcW w:type="dxa" w:w="1818"/>
          </w:tcPr>
          <w:p>
            <w:pPr>
              <w:spacing w:after="40"/>
            </w:pPr>
            <w:r>
              <w:rPr>
                <w:sz w:val="18"/>
              </w:rPr>
            </w:r>
            <w:r>
              <w:rPr>
                <w:b w:val="0"/>
                <w:i w:val="0"/>
                <w:sz w:val="18"/>
              </w:rPr>
              <w:t>L8</w:t>
            </w:r>
            <w:r>
              <w:rPr>
                <w:sz w:val="18"/>
              </w:rPr>
              <w:br/>
            </w:r>
            <w:r>
              <w:rPr>
                <w:b w:val="0"/>
                <w:i w:val="0"/>
                <w:sz w:val="18"/>
              </w:rPr>
              <w:t>slide 29</w:t>
            </w:r>
            <w:r>
              <w:rPr>
                <w:sz w:val="18"/>
              </w:rPr>
              <w:br/>
            </w:r>
            <w:r>
              <w:rPr>
                <w:b w:val="0"/>
                <w:i w:val="0"/>
                <w:sz w:val="18"/>
              </w:rPr>
              <w:t>slide 30</w:t>
            </w:r>
            <w:r>
              <w:rPr>
                <w:sz w:val="18"/>
              </w:rPr>
              <w:br/>
            </w:r>
            <w:r>
              <w:rPr>
                <w:b w:val="0"/>
                <w:i w:val="0"/>
                <w:sz w:val="18"/>
              </w:rPr>
              <w:t>slide 31</w:t>
            </w:r>
            <w:r>
              <w:rPr>
                <w:sz w:val="18"/>
              </w:rPr>
              <w:br/>
            </w:r>
            <w:r>
              <w:rPr>
                <w:b w:val="0"/>
                <w:i w:val="0"/>
                <w:sz w:val="18"/>
              </w:rPr>
              <w:t>slide 32</w:t>
            </w:r>
            <w:r>
              <w:rPr>
                <w:sz w:val="18"/>
              </w:rPr>
              <w:br/>
            </w:r>
            <w:r>
              <w:rPr>
                <w:b w:val="0"/>
                <w:i w:val="0"/>
                <w:sz w:val="18"/>
              </w:rPr>
              <w:t>slide 33</w:t>
            </w:r>
            <w:r>
              <w:rPr>
                <w:sz w:val="18"/>
              </w:rPr>
              <w:br/>
            </w:r>
            <w:r>
              <w:rPr>
                <w:b w:val="0"/>
                <w:i w:val="0"/>
                <w:sz w:val="18"/>
              </w:rPr>
              <w:t>slide 39</w:t>
            </w:r>
          </w:p>
        </w:tc>
      </w:tr>
      <w:tr>
        <w:tc>
          <w:tcPr>
            <w:tcW w:type="dxa" w:w="1818"/>
          </w:tcPr>
          <w:p>
            <w:pPr>
              <w:spacing w:after="40"/>
            </w:pPr>
            <w:r>
              <w:rPr>
                <w:sz w:val="18"/>
              </w:rPr>
            </w:r>
            <w:r>
              <w:rPr>
                <w:b/>
                <w:i w:val="0"/>
                <w:sz w:val="18"/>
              </w:rPr>
              <w:t>ACE (angiotensin-converting enzyme) inhibitors</w:t>
            </w:r>
            <w:r>
              <w:rPr>
                <w:sz w:val="18"/>
              </w:rPr>
              <w:br/>
            </w:r>
            <w:r>
              <w:rPr>
                <w:b w:val="0"/>
                <w:i w:val="0"/>
                <w:sz w:val="18"/>
              </w:rPr>
              <w:t>vasculoprotective add-on</w:t>
            </w:r>
          </w:p>
        </w:tc>
        <w:tc>
          <w:tcPr>
            <w:tcW w:type="dxa" w:w="1818"/>
          </w:tcPr>
          <w:p>
            <w:pPr>
              <w:spacing w:after="40"/>
            </w:pPr>
            <w:r>
              <w:rPr>
                <w:sz w:val="18"/>
              </w:rPr>
            </w:r>
            <w:r>
              <w:rPr>
                <w:b w:val="0"/>
                <w:i w:val="0"/>
                <w:sz w:val="18"/>
              </w:rPr>
              <w:t xml:space="preserve">Not antianginal: </w:t>
            </w:r>
            <w:r>
              <w:rPr>
                <w:b/>
                <w:i w:val="0"/>
                <w:sz w:val="18"/>
              </w:rPr>
              <w:t>do not significantly affect myocardial oxygen consumption</w:t>
            </w:r>
            <w:r>
              <w:rPr>
                <w:b w:val="0"/>
                <w:i w:val="0"/>
                <w:sz w:val="18"/>
              </w:rPr>
              <w:t>; may help prevent progression of coronary artery disease.</w:t>
            </w:r>
          </w:p>
        </w:tc>
        <w:tc>
          <w:tcPr>
            <w:tcW w:type="dxa" w:w="1818"/>
          </w:tcPr>
          <w:p>
            <w:pPr>
              <w:spacing w:after="40"/>
            </w:pPr>
            <w:r>
              <w:rPr>
                <w:sz w:val="18"/>
              </w:rPr>
            </w:r>
            <w:r>
              <w:rPr>
                <w:b w:val="0"/>
                <w:i w:val="0"/>
                <w:sz w:val="18"/>
              </w:rPr>
              <w:t xml:space="preserve">No significant effect on oxygen consumption; </w:t>
            </w:r>
            <w:r>
              <w:rPr>
                <w:b/>
                <w:i w:val="0"/>
                <w:sz w:val="18"/>
              </w:rPr>
              <w:t>do not relieve symptoms of angina</w:t>
            </w:r>
            <w:r>
              <w:rPr>
                <w:b w:val="0"/>
                <w:i w:val="0"/>
                <w:sz w:val="18"/>
              </w:rPr>
              <w:t>.</w:t>
            </w:r>
          </w:p>
        </w:tc>
        <w:tc>
          <w:tcPr>
            <w:tcW w:type="dxa" w:w="1818"/>
          </w:tcPr>
          <w:p>
            <w:pPr>
              <w:spacing w:after="40"/>
            </w:pPr>
            <w:r>
              <w:rPr>
                <w:sz w:val="18"/>
              </w:rPr>
            </w:r>
            <w:r>
              <w:rPr>
                <w:b w:val="0"/>
                <w:i w:val="0"/>
                <w:sz w:val="18"/>
              </w:rPr>
              <w:t xml:space="preserve">For coronary artery disease </w:t>
            </w:r>
            <w:r>
              <w:rPr>
                <w:b/>
                <w:i w:val="0"/>
                <w:sz w:val="18"/>
              </w:rPr>
              <w:t>with diabetes and/or left ventricular systolic dysfunction</w:t>
            </w:r>
            <w:r>
              <w:rPr>
                <w:b w:val="0"/>
                <w:i w:val="0"/>
                <w:sz w:val="18"/>
              </w:rPr>
              <w:t>; indefinite use after myocardial infarction, left ventricular dysfunction or diabetes; consider in all patients with coronary artery disease or other vascular disease.</w:t>
            </w:r>
          </w:p>
        </w:tc>
        <w:tc>
          <w:tcPr>
            <w:tcW w:type="dxa" w:w="1818"/>
          </w:tcPr>
          <w:p>
            <w:pPr>
              <w:spacing w:after="40"/>
            </w:pPr>
            <w:r>
              <w:rPr>
                <w:sz w:val="18"/>
              </w:rPr>
            </w:r>
            <w:r>
              <w:rPr>
                <w:b w:val="0"/>
                <w:i w:val="0"/>
                <w:sz w:val="18"/>
              </w:rPr>
              <w:t>Adverse effects are covered in the antihypertensive drug chart.</w:t>
            </w:r>
          </w:p>
        </w:tc>
        <w:tc>
          <w:tcPr>
            <w:tcW w:type="dxa" w:w="1818"/>
          </w:tcPr>
          <w:p>
            <w:pPr>
              <w:spacing w:after="40"/>
            </w:pPr>
            <w:r>
              <w:rPr>
                <w:sz w:val="18"/>
              </w:rPr>
            </w:r>
            <w:r>
              <w:rPr>
                <w:b w:val="0"/>
                <w:i w:val="0"/>
                <w:sz w:val="18"/>
              </w:rPr>
              <w:t>Pregnancy contraindication is covered in the antihypertensive drug chart.</w:t>
            </w:r>
          </w:p>
        </w:tc>
        <w:tc>
          <w:tcPr>
            <w:tcW w:type="dxa" w:w="1818"/>
          </w:tcPr>
          <w:p>
            <w:pPr>
              <w:spacing w:after="40"/>
            </w:pPr>
            <w:r>
              <w:rPr>
                <w:sz w:val="18"/>
              </w:rPr>
            </w:r>
            <w:r>
              <w:rPr>
                <w:b w:val="0"/>
                <w:i w:val="0"/>
                <w:sz w:val="18"/>
              </w:rPr>
              <w:t>Long-term protection, not symptom relief.</w:t>
            </w:r>
          </w:p>
        </w:tc>
        <w:tc>
          <w:tcPr>
            <w:tcW w:type="dxa" w:w="1818"/>
          </w:tcPr>
          <w:p>
            <w:pPr>
              <w:spacing w:after="40"/>
            </w:pPr>
            <w:r>
              <w:rPr>
                <w:sz w:val="18"/>
              </w:rPr>
            </w:r>
            <w:r>
              <w:rPr>
                <w:b w:val="0"/>
                <w:i w:val="0"/>
                <w:sz w:val="18"/>
              </w:rPr>
              <w:t>L8</w:t>
            </w:r>
            <w:r>
              <w:rPr>
                <w:sz w:val="18"/>
              </w:rPr>
              <w:br/>
            </w:r>
            <w:r>
              <w:rPr>
                <w:b w:val="0"/>
                <w:i w:val="0"/>
                <w:sz w:val="18"/>
              </w:rPr>
              <w:t>slide 35</w:t>
            </w:r>
          </w:p>
        </w:tc>
      </w:tr>
      <w:tr>
        <w:tc>
          <w:tcPr>
            <w:tcW w:type="dxa" w:w="1818"/>
          </w:tcPr>
          <w:p>
            <w:pPr>
              <w:spacing w:after="40"/>
            </w:pPr>
            <w:r>
              <w:rPr>
                <w:sz w:val="18"/>
              </w:rPr>
            </w:r>
            <w:r>
              <w:rPr>
                <w:b/>
                <w:i w:val="0"/>
                <w:sz w:val="18"/>
              </w:rPr>
              <w:t>Aspirin and clopidogrel</w:t>
            </w:r>
            <w:r>
              <w:rPr>
                <w:sz w:val="18"/>
              </w:rPr>
              <w:br/>
            </w:r>
            <w:r>
              <w:rPr>
                <w:b w:val="0"/>
                <w:i w:val="0"/>
                <w:sz w:val="18"/>
              </w:rPr>
              <w:t>antiplatelet, vasculoprotective add-on</w:t>
            </w:r>
          </w:p>
        </w:tc>
        <w:tc>
          <w:tcPr>
            <w:tcW w:type="dxa" w:w="1818"/>
          </w:tcPr>
          <w:p>
            <w:pPr>
              <w:spacing w:after="40"/>
            </w:pPr>
            <w:r>
              <w:rPr>
                <w:sz w:val="18"/>
              </w:rPr>
            </w:r>
            <w:r>
              <w:rPr>
                <w:b w:val="0"/>
                <w:i w:val="0"/>
                <w:sz w:val="18"/>
              </w:rPr>
              <w:t xml:space="preserve">Antiplatelet: used to </w:t>
            </w:r>
            <w:r>
              <w:rPr>
                <w:b/>
                <w:i w:val="0"/>
                <w:sz w:val="18"/>
              </w:rPr>
              <w:t>prevent acute coronary syndrome</w:t>
            </w:r>
            <w:r>
              <w:rPr>
                <w:b w:val="0"/>
                <w:i w:val="0"/>
                <w:sz w:val="18"/>
              </w:rPr>
              <w:t>.</w:t>
            </w:r>
          </w:p>
        </w:tc>
        <w:tc>
          <w:tcPr>
            <w:tcW w:type="dxa" w:w="1818"/>
          </w:tcPr>
          <w:p>
            <w:pPr>
              <w:spacing w:after="40"/>
            </w:pPr>
            <w:r>
              <w:rPr>
                <w:sz w:val="18"/>
              </w:rPr>
            </w:r>
            <w:r>
              <w:rPr>
                <w:b w:val="0"/>
                <w:i w:val="0"/>
                <w:sz w:val="18"/>
              </w:rPr>
              <w:t>No heart rate, contractility or wall tension effect is listed; they are preventive, not antianginal.</w:t>
            </w:r>
          </w:p>
        </w:tc>
        <w:tc>
          <w:tcPr>
            <w:tcW w:type="dxa" w:w="1818"/>
          </w:tcPr>
          <w:p>
            <w:pPr>
              <w:spacing w:after="40"/>
            </w:pPr>
            <w:r>
              <w:rPr>
                <w:sz w:val="18"/>
              </w:rPr>
            </w:r>
            <w:r>
              <w:rPr>
                <w:b/>
                <w:i w:val="0"/>
                <w:sz w:val="18"/>
              </w:rPr>
              <w:t>Aspirin</w:t>
            </w:r>
            <w:r>
              <w:rPr>
                <w:b w:val="0"/>
                <w:i w:val="0"/>
                <w:sz w:val="18"/>
              </w:rPr>
              <w:t xml:space="preserve"> for all patients with ischemic heart disease in the absence of contraindications. </w:t>
            </w:r>
            <w:r>
              <w:rPr>
                <w:b/>
                <w:i w:val="0"/>
                <w:sz w:val="18"/>
              </w:rPr>
              <w:t>Clopidogrel</w:t>
            </w:r>
            <w:r>
              <w:rPr>
                <w:b w:val="0"/>
                <w:i w:val="0"/>
                <w:sz w:val="18"/>
              </w:rPr>
              <w:t xml:space="preserve"> (as efficacious in secondary prevention) for patients allergic to aspirin.</w:t>
            </w:r>
          </w:p>
        </w:tc>
        <w:tc>
          <w:tcPr>
            <w:tcW w:type="dxa" w:w="1818"/>
          </w:tcPr>
          <w:p>
            <w:pPr>
              <w:spacing w:after="40"/>
            </w:pPr>
            <w:r>
              <w:rPr>
                <w:sz w:val="18"/>
              </w:rPr>
            </w:r>
            <w:r>
              <w:rPr>
                <w:b w:val="0"/>
                <w:i w:val="0"/>
                <w:sz w:val="18"/>
              </w:rPr>
              <w:t>Adverse effects of aspirin and clopidogrel are not covered here; aspirin contraindications are in the next column.</w:t>
            </w:r>
          </w:p>
        </w:tc>
        <w:tc>
          <w:tcPr>
            <w:tcW w:type="dxa" w:w="1818"/>
          </w:tcPr>
          <w:p>
            <w:pPr>
              <w:spacing w:after="40"/>
            </w:pPr>
            <w:r>
              <w:rPr>
                <w:sz w:val="18"/>
              </w:rPr>
            </w:r>
            <w:r>
              <w:rPr>
                <w:b w:val="0"/>
                <w:i w:val="0"/>
                <w:sz w:val="18"/>
              </w:rPr>
              <w:t>Aspirin: allergy, recent gastrointestinal bleed, recent intracranial hemorrhage.</w:t>
            </w:r>
          </w:p>
        </w:tc>
        <w:tc>
          <w:tcPr>
            <w:tcW w:type="dxa" w:w="1818"/>
          </w:tcPr>
          <w:p>
            <w:pPr>
              <w:spacing w:after="40"/>
            </w:pPr>
            <w:r>
              <w:rPr>
                <w:sz w:val="18"/>
              </w:rPr>
            </w:r>
            <w:r>
              <w:rPr>
                <w:b w:val="0"/>
                <w:i w:val="0"/>
                <w:sz w:val="18"/>
              </w:rPr>
              <w:t>Clopidogrel is the substitute when aspirin cannot be taken because of allergy.</w:t>
            </w:r>
          </w:p>
        </w:tc>
        <w:tc>
          <w:tcPr>
            <w:tcW w:type="dxa" w:w="1818"/>
          </w:tcPr>
          <w:p>
            <w:pPr>
              <w:spacing w:after="40"/>
            </w:pPr>
            <w:r>
              <w:rPr>
                <w:sz w:val="18"/>
              </w:rPr>
            </w:r>
            <w:r>
              <w:rPr>
                <w:b w:val="0"/>
                <w:i w:val="0"/>
                <w:sz w:val="18"/>
              </w:rPr>
              <w:t>L8</w:t>
            </w:r>
            <w:r>
              <w:rPr>
                <w:sz w:val="18"/>
              </w:rPr>
              <w:br/>
            </w:r>
            <w:r>
              <w:rPr>
                <w:b w:val="0"/>
                <w:i w:val="0"/>
                <w:sz w:val="18"/>
              </w:rPr>
              <w:t>slide 37</w:t>
            </w:r>
            <w:r>
              <w:rPr>
                <w:sz w:val="18"/>
              </w:rPr>
              <w:br/>
            </w:r>
            <w:r>
              <w:rPr>
                <w:b w:val="0"/>
                <w:i w:val="0"/>
                <w:sz w:val="18"/>
              </w:rPr>
              <w:t>slide 53</w:t>
            </w:r>
          </w:p>
        </w:tc>
      </w:tr>
    </w:tbl>
    <w:p>
      <w:pPr>
        <w:spacing w:after="80"/>
      </w:pPr>
    </w:p>
    <w:p>
      <w:pPr>
        <w:spacing w:after="120"/>
      </w:pPr>
      <w:r>
        <w:rPr>
          <w:b w:val="0"/>
          <w:i w:val="0"/>
        </w:rPr>
        <w:t xml:space="preserve"> Every row is checked against the slide it cites by </w:t>
      </w:r>
      <w:r>
        <w:rPr>
          <w:rFonts w:ascii="Consolas" w:hAnsi="Consolas"/>
          <w:b w:val="0"/>
          <w:i w:val="0"/>
          <w:sz w:val="18"/>
        </w:rPr>
        <w:t>tools/check_pharm_e2.py</w:t>
      </w:r>
      <w:r>
        <w:rPr>
          <w:b w:val="0"/>
          <w:i w:val="0"/>
        </w:rPr>
        <w:t xml:space="preserve"> before this page is written. </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