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Non-Selective Beta Blockers Compared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2 · Class of 2028</w:t>
      </w:r>
    </w:p>
    <w:p>
      <w:pPr>
        <w:spacing w:after="120"/>
      </w:pPr>
      <w:r>
        <w:rPr>
          <w:b w:val="0"/>
          <w:i w:val="0"/>
        </w:rPr>
        <w:t>The first-generation beta blockers on the slides, by membrane-stabilizing activity, lipid solubility and intrinsic sympathomimetic activity.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6 — Antihypertensive Drugs 6 rows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4544"/>
      </w:tblGrid>
      <w:tr>
        <w:tc>
          <w:tcPr>
            <w:tcW w:type="dxa" w:w="1454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Lipid solubility predicts central nervous system effects</w:t>
            </w:r>
            <w:r>
              <w:rPr>
                <w:b w:val="0"/>
                <w:i w:val="0"/>
              </w:rPr>
              <w:t xml:space="preserve"> (depression, nightmares, vivid dreams): propranolol and penbutolol are the highly lipid-soluble ones. </w:t>
            </w:r>
            <w:r>
              <w:rPr>
                <w:b/>
                <w:i w:val="0"/>
              </w:rPr>
              <w:t>Pindolol has the most intrinsic sympathomimetic activity</w:t>
            </w:r>
            <w:r>
              <w:rPr>
                <w:b w:val="0"/>
                <w:i w:val="0"/>
              </w:rPr>
              <w:t>, meaning it partly stimulates the receptor it blocks. (The lecturer said not to memorize the plus counts; know the pattern.)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424"/>
        <w:gridCol w:w="2424"/>
        <w:gridCol w:w="2424"/>
        <w:gridCol w:w="2424"/>
        <w:gridCol w:w="2424"/>
        <w:gridCol w:w="2424"/>
      </w:tblGrid>
      <w:tr>
        <w:tc>
          <w:tcPr>
            <w:tcW w:type="dxa" w:w="2424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</w:t>
            </w:r>
          </w:p>
        </w:tc>
        <w:tc>
          <w:tcPr>
            <w:tcW w:type="dxa" w:w="2424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Group</w:t>
            </w:r>
          </w:p>
        </w:tc>
        <w:tc>
          <w:tcPr>
            <w:tcW w:type="dxa" w:w="2424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Membrane stabilizing</w:t>
            </w:r>
          </w:p>
        </w:tc>
        <w:tc>
          <w:tcPr>
            <w:tcW w:type="dxa" w:w="2424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Lipid solubility</w:t>
            </w:r>
          </w:p>
        </w:tc>
        <w:tc>
          <w:tcPr>
            <w:tcW w:type="dxa" w:w="2424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Intrinsic sympathomimetic activity (ISA)</w:t>
            </w:r>
          </w:p>
        </w:tc>
        <w:tc>
          <w:tcPr>
            <w:tcW w:type="dxa" w:w="2424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Nadolol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Corgard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Non-selective (first generation)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0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0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60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Penbutolol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Levatol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Non-selective (first generation)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0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High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+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60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Pindolol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Visken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Non-selective (first generation)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+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+++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60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Propranolol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Inderal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Non-selective (first generation)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++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High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0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60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Sotalol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Betapace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Non-selective (first generation)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0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0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60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Timolol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Blocadren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Non-selective (first generation)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0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Moderate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0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60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row is checked against the slide it cites by </w:t>
      </w:r>
      <w:r>
        <w:rPr>
          <w:rFonts w:ascii="Consolas" w:hAnsi="Consolas"/>
          <w:b w:val="0"/>
          <w:i w:val="0"/>
          <w:sz w:val="18"/>
        </w:rPr>
        <w:t>tools/check_pharm_e2.py</w:t>
      </w:r>
      <w:r>
        <w:rPr>
          <w:b w:val="0"/>
          <w:i w:val="0"/>
        </w:rPr>
        <w:t xml:space="preserve"> before this page is written. 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