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6B3524"/>
        </w:rPr>
        <w:t>Ocular Drug Reference</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spacing w:after="120"/>
      </w:pPr>
      <w:r>
        <w:rPr>
          <w:b w:val="0"/>
          <w:i w:val="0"/>
        </w:rPr>
        <w:t>Pharmacology I · Exam 2 · Class of 2028</w:t>
      </w:r>
    </w:p>
    <w:p>
      <w:pPr>
        <w:spacing w:after="120"/>
      </w:pPr>
      <w:r>
        <w:rPr>
          <w:b w:val="0"/>
          <w:i w:val="0"/>
        </w:rPr>
        <w:t>Every agent in the ophthalmology lecture, with indication, patient education, side effects, contraindications and mechanism. 30 entries, each citing its slide. Indication, education, side effects and contraindications come FIRST, because mechanism is the part already over-weighted.</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before="200" w:after="100"/>
            </w:pPr>
            <w:r>
              <w:rPr>
                <w:rFonts w:ascii="Georgia" w:hAnsi="Georgia"/>
                <w:color w:val="6B3524"/>
              </w:rPr>
              <w:t>★ The one he said he would ask</w:t>
            </w:r>
          </w:p>
          <w:p>
            <w:pPr>
              <w:spacing w:after="120"/>
            </w:pPr>
            <w:r>
              <w:rPr>
                <w:b w:val="0"/>
                <w:i w:val="0"/>
              </w:rPr>
              <w:t xml:space="preserve">In the recording, on the topical vasoconstrictors: </w:t>
            </w:r>
            <w:r>
              <w:rPr>
                <w:b w:val="0"/>
                <w:i/>
              </w:rPr>
              <w:t xml:space="preserve">“Most of you will probably forget this and we’ll get it wrong on the test. But I will tell you, </w:t>
            </w:r>
            <w:r>
              <w:rPr>
                <w:b/>
                <w:i/>
              </w:rPr>
              <w:t>I will ask this question</w:t>
            </w:r>
            <w:r>
              <w:rPr>
                <w:b w:val="0"/>
                <w:i/>
              </w:rPr>
              <w:t xml:space="preserve"> … there’s </w:t>
            </w:r>
            <w:r>
              <w:rPr>
                <w:b/>
                <w:i/>
              </w:rPr>
              <w:t>rebound hyperemia</w:t>
            </w:r>
            <w:r>
              <w:rPr>
                <w:b w:val="0"/>
                <w:i/>
              </w:rPr>
              <w:t xml:space="preserve"> … </w:t>
            </w:r>
            <w:r>
              <w:rPr>
                <w:b/>
                <w:i/>
              </w:rPr>
              <w:t>star that, underline it, highlight it</w:t>
            </w:r>
            <w:r>
              <w:rPr>
                <w:b w:val="0"/>
                <w:i/>
              </w:rPr>
              <w:t>. A lot of people still get it wrong every test. I don’t know why because I tell you explicitly, that’s what I’m going to be asking about.”</w:t>
            </w:r>
          </w:p>
          <w:p>
            <w:pPr>
              <w:spacing w:after="120"/>
            </w:pPr>
            <w:r>
              <w:rPr>
                <w:b w:val="0"/>
                <w:i w:val="0"/>
              </w:rPr>
              <w:t xml:space="preserve">So: </w:t>
            </w:r>
            <w:r>
              <w:rPr>
                <w:b/>
                <w:i w:val="0"/>
              </w:rPr>
              <w:t>no more than two weeks</w:t>
            </w:r>
            <w:r>
              <w:rPr>
                <w:b w:val="0"/>
                <w:i w:val="0"/>
              </w:rPr>
              <w:t xml:space="preserve">, because prolonged use causes rebound hyperemia on stopping; and </w:t>
            </w:r>
            <w:r>
              <w:rPr>
                <w:b/>
                <w:i w:val="0"/>
              </w:rPr>
              <w:t>if no improvement in 72 hours</w:t>
            </w:r>
            <w:r>
              <w:rPr>
                <w:b w:val="0"/>
                <w:i w:val="0"/>
              </w:rPr>
              <w:t>, stop and see a provider. He noted the same trap returns with nasal sprays in ENT.</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before="200" w:after="100"/>
            </w:pPr>
            <w:r>
              <w:rPr>
                <w:rFonts w:ascii="Georgia" w:hAnsi="Georgia"/>
                <w:color w:val="6B3524"/>
              </w:rPr>
              <w:t>What he took OFF the table</w:t>
            </w:r>
          </w:p>
          <w:p>
            <w:pPr>
              <w:pStyle w:val="ListBullet"/>
              <w:spacing w:after="40"/>
            </w:pPr>
            <w:r>
              <w:rPr>
                <w:b/>
                <w:i w:val="0"/>
                <w:sz w:val="20"/>
              </w:rPr>
              <w:t>Indications for the individual antibiotics</w:t>
            </w:r>
            <w:r>
              <w:rPr>
                <w:b w:val="0"/>
                <w:i w:val="0"/>
                <w:sz w:val="20"/>
              </w:rPr>
              <w:t xml:space="preserve"> — </w:t>
            </w:r>
            <w:r>
              <w:rPr>
                <w:b w:val="0"/>
                <w:i/>
                <w:sz w:val="20"/>
              </w:rPr>
              <w:t>“don’t worry so much about indications for use … a lot of them have a lot of crossover.”</w:t>
            </w:r>
            <w:r>
              <w:rPr>
                <w:b w:val="0"/>
                <w:i w:val="0"/>
                <w:sz w:val="20"/>
              </w:rPr>
              <w:t xml:space="preserve"> They are listed below for reference, not for memorizing.</w:t>
            </w:r>
          </w:p>
          <w:p>
            <w:pPr>
              <w:pStyle w:val="ListBullet"/>
              <w:spacing w:after="40"/>
            </w:pPr>
            <w:r>
              <w:rPr>
                <w:b/>
                <w:i w:val="0"/>
                <w:sz w:val="20"/>
              </w:rPr>
              <w:t>Formulations</w:t>
            </w:r>
            <w:r>
              <w:rPr>
                <w:b w:val="0"/>
                <w:i w:val="0"/>
                <w:sz w:val="20"/>
              </w:rPr>
              <w:t xml:space="preserve"> — </w:t>
            </w:r>
            <w:r>
              <w:rPr>
                <w:b w:val="0"/>
                <w:i/>
                <w:sz w:val="20"/>
              </w:rPr>
              <w:t>“I don’t care that you memorize that necessarily, with some exceptions.”</w:t>
            </w:r>
          </w:p>
          <w:p>
            <w:pPr>
              <w:pStyle w:val="ListBullet"/>
              <w:spacing w:after="40"/>
            </w:pPr>
            <w:r>
              <w:rPr>
                <w:b/>
                <w:i w:val="0"/>
                <w:sz w:val="20"/>
              </w:rPr>
              <w:t>Which agent causes irritation or hypersensitivity</w:t>
            </w:r>
            <w:r>
              <w:rPr>
                <w:b w:val="0"/>
                <w:i w:val="0"/>
                <w:sz w:val="20"/>
              </w:rPr>
              <w:t xml:space="preserve"> — </w:t>
            </w:r>
            <w:r>
              <w:rPr>
                <w:b w:val="0"/>
                <w:i/>
                <w:sz w:val="20"/>
              </w:rPr>
              <w:t>“don’t memorize which ones cause eye irritation or hypersensitivity. ANY of these can do that.”</w:t>
            </w:r>
            <w:r>
              <w:rPr>
                <w:b w:val="0"/>
                <w:i w:val="0"/>
                <w:sz w:val="20"/>
              </w:rPr>
              <w:t xml:space="preserve"> The effects worth attaching to one class are the aminoglycoside corneal ulceration, the ciprofloxacin white precipitate, and the fluoroquinolone taste.</w:t>
            </w:r>
          </w:p>
          <w:p>
            <w:pPr>
              <w:pStyle w:val="ListBullet"/>
              <w:spacing w:after="40"/>
            </w:pPr>
            <w:r>
              <w:rPr>
                <w:b/>
                <w:i w:val="0"/>
                <w:sz w:val="20"/>
              </w:rPr>
              <w:t>The specific combination products</w:t>
            </w:r>
            <w:r>
              <w:rPr>
                <w:b w:val="0"/>
                <w:i w:val="0"/>
                <w:sz w:val="20"/>
              </w:rPr>
              <w:t xml:space="preserve"> — </w:t>
            </w:r>
            <w:r>
              <w:rPr>
                <w:b w:val="0"/>
                <w:i/>
                <w:sz w:val="20"/>
              </w:rPr>
              <w:t>“I don’t care that you memorize, but just know if I was to say, hey, patient’s on this drug right now, what would be a helpful second line agent to add on?”</w:t>
            </w:r>
            <w:r>
              <w:rPr>
                <w:b w:val="0"/>
                <w:i w:val="0"/>
                <w:sz w:val="20"/>
              </w:rPr>
              <w:t xml:space="preserve"> So learn the principle: add a </w:t>
            </w:r>
            <w:r>
              <w:rPr>
                <w:b/>
                <w:i w:val="0"/>
                <w:sz w:val="20"/>
              </w:rPr>
              <w:t>different mechanism</w:t>
            </w:r>
            <w:r>
              <w:rPr>
                <w:b w:val="0"/>
                <w:i w:val="0"/>
                <w:sz w:val="20"/>
              </w:rPr>
              <w:t>, for synergy and fewer drops.</w:t>
            </w:r>
          </w:p>
        </w:tc>
      </w:tr>
    </w:tbl>
    <w:p>
      <w:pPr>
        <w:spacing w:after="80"/>
      </w:pPr>
    </w:p>
    <w:p>
      <w:pPr>
        <w:pStyle w:val="Heading1"/>
        <w:spacing w:before="280" w:after="100"/>
      </w:pPr>
      <w:r>
        <w:rPr>
          <w:rFonts w:ascii="Georgia" w:hAnsi="Georgia"/>
          <w:color w:val="6B3524"/>
        </w:rPr>
        <w:t>Antibacterial</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078"/>
        <w:gridCol w:w="2078"/>
        <w:gridCol w:w="2078"/>
        <w:gridCol w:w="2078"/>
        <w:gridCol w:w="2078"/>
        <w:gridCol w:w="2078"/>
        <w:gridCol w:w="2078"/>
      </w:tblGrid>
      <w:tr>
        <w:tc>
          <w:tcPr>
            <w:tcW w:type="dxa" w:w="2078"/>
            <w:shd w:val="clear" w:color="auto" w:fill="6B3524"/>
          </w:tcPr>
          <w:p>
            <w:pPr>
              <w:spacing w:after="40"/>
            </w:pPr>
            <w:r>
              <w:rPr>
                <w:b/>
                <w:color w:val="FFFFFF"/>
                <w:sz w:val="18"/>
              </w:rPr>
            </w:r>
            <w:r>
              <w:rPr>
                <w:b/>
                <w:i w:val="0"/>
                <w:color w:val="FFFFFF"/>
                <w:sz w:val="18"/>
              </w:rPr>
              <w:t>Agent</w:t>
            </w:r>
          </w:p>
        </w:tc>
        <w:tc>
          <w:tcPr>
            <w:tcW w:type="dxa" w:w="2078"/>
            <w:shd w:val="clear" w:color="auto" w:fill="6B3524"/>
          </w:tcPr>
          <w:p>
            <w:pPr>
              <w:spacing w:after="40"/>
            </w:pPr>
            <w:r>
              <w:rPr>
                <w:b/>
                <w:color w:val="FFFFFF"/>
                <w:sz w:val="18"/>
              </w:rPr>
            </w:r>
            <w:r>
              <w:rPr>
                <w:b/>
                <w:i w:val="0"/>
                <w:color w:val="FFFFFF"/>
                <w:sz w:val="18"/>
              </w:rPr>
              <w:t>Indication</w:t>
            </w:r>
          </w:p>
        </w:tc>
        <w:tc>
          <w:tcPr>
            <w:tcW w:type="dxa" w:w="2078"/>
            <w:shd w:val="clear" w:color="auto" w:fill="6B3524"/>
          </w:tcPr>
          <w:p>
            <w:pPr>
              <w:spacing w:after="40"/>
            </w:pPr>
            <w:r>
              <w:rPr>
                <w:b/>
                <w:color w:val="FFFFFF"/>
                <w:sz w:val="18"/>
              </w:rPr>
            </w:r>
            <w:r>
              <w:rPr>
                <w:b/>
                <w:i w:val="0"/>
                <w:color w:val="FFFFFF"/>
                <w:sz w:val="18"/>
              </w:rPr>
              <w:t>Patient education</w:t>
            </w:r>
          </w:p>
        </w:tc>
        <w:tc>
          <w:tcPr>
            <w:tcW w:type="dxa" w:w="2078"/>
            <w:shd w:val="clear" w:color="auto" w:fill="6B3524"/>
          </w:tcPr>
          <w:p>
            <w:pPr>
              <w:spacing w:after="40"/>
            </w:pPr>
            <w:r>
              <w:rPr>
                <w:b/>
                <w:color w:val="FFFFFF"/>
                <w:sz w:val="18"/>
              </w:rPr>
            </w:r>
            <w:r>
              <w:rPr>
                <w:b/>
                <w:i w:val="0"/>
                <w:color w:val="FFFFFF"/>
                <w:sz w:val="18"/>
              </w:rPr>
              <w:t>Side effects</w:t>
            </w:r>
          </w:p>
        </w:tc>
        <w:tc>
          <w:tcPr>
            <w:tcW w:type="dxa" w:w="2078"/>
            <w:shd w:val="clear" w:color="auto" w:fill="6B3524"/>
          </w:tcPr>
          <w:p>
            <w:pPr>
              <w:spacing w:after="40"/>
            </w:pPr>
            <w:r>
              <w:rPr>
                <w:b/>
                <w:color w:val="FFFFFF"/>
                <w:sz w:val="18"/>
              </w:rPr>
            </w:r>
            <w:r>
              <w:rPr>
                <w:b/>
                <w:i w:val="0"/>
                <w:color w:val="FFFFFF"/>
                <w:sz w:val="18"/>
              </w:rPr>
              <w:t>Contraindications &amp; cautions</w:t>
            </w:r>
          </w:p>
        </w:tc>
        <w:tc>
          <w:tcPr>
            <w:tcW w:type="dxa" w:w="2078"/>
            <w:shd w:val="clear" w:color="auto" w:fill="6B3524"/>
          </w:tcPr>
          <w:p>
            <w:pPr>
              <w:spacing w:after="40"/>
            </w:pPr>
            <w:r>
              <w:rPr>
                <w:b/>
                <w:color w:val="FFFFFF"/>
                <w:sz w:val="18"/>
              </w:rPr>
            </w:r>
            <w:r>
              <w:rPr>
                <w:b/>
                <w:i w:val="0"/>
                <w:color w:val="FFFFFF"/>
                <w:sz w:val="18"/>
              </w:rPr>
              <w:t>Mechanism</w:t>
            </w:r>
          </w:p>
        </w:tc>
        <w:tc>
          <w:tcPr>
            <w:tcW w:type="dxa" w:w="2078"/>
            <w:shd w:val="clear" w:color="auto" w:fill="6B3524"/>
          </w:tcPr>
          <w:p>
            <w:pPr>
              <w:spacing w:after="40"/>
            </w:pPr>
            <w:r>
              <w:rPr>
                <w:b/>
                <w:color w:val="FFFFFF"/>
                <w:sz w:val="18"/>
              </w:rPr>
            </w:r>
            <w:r>
              <w:rPr>
                <w:b/>
                <w:i w:val="0"/>
                <w:color w:val="FFFFFF"/>
                <w:sz w:val="18"/>
              </w:rPr>
              <w:t>Slide</w:t>
            </w:r>
          </w:p>
        </w:tc>
      </w:tr>
      <w:tr>
        <w:tc>
          <w:tcPr>
            <w:tcW w:type="dxa" w:w="2078"/>
          </w:tcPr>
          <w:p>
            <w:pPr>
              <w:spacing w:after="40"/>
            </w:pPr>
            <w:r>
              <w:rPr>
                <w:sz w:val="18"/>
              </w:rPr>
            </w:r>
            <w:r>
              <w:rPr>
                <w:b w:val="0"/>
                <w:i w:val="0"/>
                <w:sz w:val="18"/>
              </w:rPr>
              <w:t>Erythromycin (ointment)</w:t>
            </w:r>
          </w:p>
        </w:tc>
        <w:tc>
          <w:tcPr>
            <w:tcW w:type="dxa" w:w="2078"/>
          </w:tcPr>
          <w:p>
            <w:pPr>
              <w:spacing w:after="40"/>
            </w:pPr>
            <w:r>
              <w:rPr>
                <w:sz w:val="18"/>
              </w:rPr>
            </w:r>
            <w:r>
              <w:rPr>
                <w:b w:val="0"/>
                <w:i w:val="0"/>
                <w:sz w:val="18"/>
              </w:rPr>
              <w:t>Superficial conjunctival or corneal infection; prophylaxis of ophthalmia neonatorum</w:t>
            </w:r>
          </w:p>
        </w:tc>
        <w:tc>
          <w:tcPr>
            <w:tcW w:type="dxa" w:w="2078"/>
          </w:tcPr>
          <w:p>
            <w:pPr>
              <w:spacing w:after="40"/>
            </w:pPr>
            <w:r>
              <w:rPr>
                <w:sz w:val="18"/>
              </w:rPr>
            </w:r>
            <w:r>
              <w:rPr>
                <w:b w:val="0"/>
                <w:i w:val="0"/>
                <w:sz w:val="18"/>
              </w:rPr>
              <w:t>Soothing on an inflamed eye, so it may be used even when bacterial infection is not confirmed. Dirt cheap.</w:t>
            </w:r>
          </w:p>
        </w:tc>
        <w:tc>
          <w:tcPr>
            <w:tcW w:type="dxa" w:w="2078"/>
          </w:tcPr>
          <w:p>
            <w:pPr>
              <w:spacing w:after="40"/>
            </w:pPr>
            <w:r>
              <w:rPr>
                <w:sz w:val="18"/>
              </w:rPr>
            </w:r>
            <w:r>
              <w:rPr>
                <w:b w:val="0"/>
                <w:i w:val="0"/>
                <w:sz w:val="18"/>
              </w:rPr>
              <w:t>Ocular irritation, hypersensitivity — shared by essentially every ophthalmic antibiotic</w:t>
            </w:r>
          </w:p>
        </w:tc>
        <w:tc>
          <w:tcPr>
            <w:tcW w:type="dxa" w:w="2078"/>
          </w:tcPr>
          <w:p>
            <w:pPr>
              <w:spacing w:after="40"/>
            </w:pPr>
            <w:r>
              <w:rPr>
                <w:sz w:val="18"/>
              </w:rPr>
            </w:r>
            <w:r>
              <w:rPr>
                <w:b w:val="0"/>
                <w:i w:val="0"/>
                <w:sz w:val="18"/>
              </w:rPr>
              <w:t>None specific</w:t>
            </w:r>
          </w:p>
        </w:tc>
        <w:tc>
          <w:tcPr>
            <w:tcW w:type="dxa" w:w="2078"/>
          </w:tcPr>
          <w:p>
            <w:pPr>
              <w:spacing w:after="40"/>
            </w:pPr>
            <w:r>
              <w:rPr>
                <w:sz w:val="18"/>
              </w:rPr>
            </w:r>
            <w:r>
              <w:rPr>
                <w:b w:val="0"/>
                <w:i w:val="0"/>
                <w:sz w:val="18"/>
              </w:rPr>
              <w:t>Blocks transpeptidation at the 50S ribosome</w:t>
            </w:r>
          </w:p>
        </w:tc>
        <w:tc>
          <w:tcPr>
            <w:tcW w:type="dxa" w:w="2078"/>
          </w:tcPr>
          <w:p>
            <w:pPr>
              <w:spacing w:after="40"/>
            </w:pPr>
            <w:r>
              <w:rPr>
                <w:sz w:val="18"/>
              </w:rPr>
            </w:r>
            <w:r>
              <w:rPr>
                <w:b w:val="0"/>
                <w:i w:val="0"/>
                <w:sz w:val="18"/>
              </w:rPr>
              <w:t>slide 15</w:t>
            </w:r>
          </w:p>
        </w:tc>
      </w:tr>
      <w:tr>
        <w:tc>
          <w:tcPr>
            <w:tcW w:type="dxa" w:w="2078"/>
          </w:tcPr>
          <w:p>
            <w:pPr>
              <w:spacing w:after="40"/>
            </w:pPr>
            <w:r>
              <w:rPr>
                <w:sz w:val="18"/>
              </w:rPr>
            </w:r>
            <w:r>
              <w:rPr>
                <w:b w:val="0"/>
                <w:i w:val="0"/>
                <w:sz w:val="18"/>
              </w:rPr>
              <w:t>Azithromycin (AzaSite)</w:t>
            </w:r>
          </w:p>
        </w:tc>
        <w:tc>
          <w:tcPr>
            <w:tcW w:type="dxa" w:w="2078"/>
          </w:tcPr>
          <w:p>
            <w:pPr>
              <w:spacing w:after="40"/>
            </w:pPr>
            <w:r>
              <w:rPr>
                <w:sz w:val="18"/>
              </w:rPr>
            </w:r>
            <w:r>
              <w:rPr>
                <w:b w:val="0"/>
                <w:i w:val="0"/>
                <w:sz w:val="18"/>
              </w:rPr>
              <w:t>Bacterial conjunctivitis</w:t>
            </w:r>
          </w:p>
        </w:tc>
        <w:tc>
          <w:tcPr>
            <w:tcW w:type="dxa" w:w="2078"/>
          </w:tcPr>
          <w:p>
            <w:pPr>
              <w:spacing w:after="40"/>
            </w:pPr>
            <w:r>
              <w:rPr>
                <w:sz w:val="18"/>
              </w:rPr>
            </w:r>
            <w:r>
              <w:rPr>
                <w:b w:val="0"/>
                <w:i w:val="0"/>
                <w:sz w:val="18"/>
              </w:rPr>
              <w:t>Given twice daily rather than four or more times — but considerably more expensive, so not used as often clinically.</w:t>
            </w:r>
          </w:p>
        </w:tc>
        <w:tc>
          <w:tcPr>
            <w:tcW w:type="dxa" w:w="2078"/>
          </w:tcPr>
          <w:p>
            <w:pPr>
              <w:spacing w:after="40"/>
            </w:pPr>
            <w:r>
              <w:rPr>
                <w:sz w:val="18"/>
              </w:rPr>
            </w:r>
            <w:r>
              <w:rPr>
                <w:b w:val="0"/>
                <w:i w:val="0"/>
                <w:sz w:val="18"/>
              </w:rPr>
              <w:t>Ocular irritation, hypersensitivity</w:t>
            </w:r>
          </w:p>
        </w:tc>
        <w:tc>
          <w:tcPr>
            <w:tcW w:type="dxa" w:w="2078"/>
          </w:tcPr>
          <w:p>
            <w:pPr>
              <w:spacing w:after="40"/>
            </w:pPr>
            <w:r>
              <w:rPr>
                <w:sz w:val="18"/>
              </w:rPr>
            </w:r>
            <w:r>
              <w:rPr>
                <w:b w:val="0"/>
                <w:i w:val="0"/>
                <w:sz w:val="18"/>
              </w:rPr>
              <w:t>Cost is the practical barrier</w:t>
            </w:r>
          </w:p>
        </w:tc>
        <w:tc>
          <w:tcPr>
            <w:tcW w:type="dxa" w:w="2078"/>
          </w:tcPr>
          <w:p>
            <w:pPr>
              <w:spacing w:after="40"/>
            </w:pPr>
            <w:r>
              <w:rPr>
                <w:sz w:val="18"/>
              </w:rPr>
            </w:r>
            <w:r>
              <w:rPr>
                <w:b w:val="0"/>
                <w:i w:val="0"/>
                <w:sz w:val="18"/>
              </w:rPr>
              <w:t>Blocks transpeptidation at the 50S ribosome</w:t>
            </w:r>
          </w:p>
        </w:tc>
        <w:tc>
          <w:tcPr>
            <w:tcW w:type="dxa" w:w="2078"/>
          </w:tcPr>
          <w:p>
            <w:pPr>
              <w:spacing w:after="40"/>
            </w:pPr>
            <w:r>
              <w:rPr>
                <w:sz w:val="18"/>
              </w:rPr>
            </w:r>
            <w:r>
              <w:rPr>
                <w:b w:val="0"/>
                <w:i w:val="0"/>
                <w:sz w:val="18"/>
              </w:rPr>
              <w:t>slide 17</w:t>
            </w:r>
          </w:p>
        </w:tc>
      </w:tr>
      <w:tr>
        <w:tc>
          <w:tcPr>
            <w:tcW w:type="dxa" w:w="2078"/>
          </w:tcPr>
          <w:p>
            <w:pPr>
              <w:spacing w:after="40"/>
            </w:pPr>
            <w:r>
              <w:rPr>
                <w:sz w:val="18"/>
              </w:rPr>
            </w:r>
            <w:r>
              <w:rPr>
                <w:b w:val="0"/>
                <w:i w:val="0"/>
                <w:sz w:val="18"/>
              </w:rPr>
              <w:t>Ciprofloxacin (Ciloxan)</w:t>
            </w:r>
          </w:p>
        </w:tc>
        <w:tc>
          <w:tcPr>
            <w:tcW w:type="dxa" w:w="2078"/>
          </w:tcPr>
          <w:p>
            <w:pPr>
              <w:spacing w:after="40"/>
            </w:pPr>
            <w:r>
              <w:rPr>
                <w:sz w:val="18"/>
              </w:rPr>
            </w:r>
            <w:r>
              <w:rPr>
                <w:b w:val="0"/>
                <w:i w:val="0"/>
                <w:sz w:val="18"/>
              </w:rPr>
              <w:t>Conjunctivitis, keratitis, corneal ulcers, blepharitis, dacryocystitis</w:t>
            </w:r>
          </w:p>
        </w:tc>
        <w:tc>
          <w:tcPr>
            <w:tcW w:type="dxa" w:w="2078"/>
          </w:tcPr>
          <w:p>
            <w:pPr>
              <w:spacing w:after="40"/>
            </w:pPr>
            <w:r>
              <w:rPr>
                <w:sz w:val="18"/>
              </w:rPr>
            </w:r>
            <w:r>
              <w:rPr>
                <w:b w:val="0"/>
                <w:i w:val="0"/>
                <w:sz w:val="18"/>
              </w:rPr>
              <w:t>A WHITE PRECIPITATE appears in about 17% — specific to this agent, and worth warning about so it is not mistaken for worsening.</w:t>
            </w:r>
          </w:p>
        </w:tc>
        <w:tc>
          <w:tcPr>
            <w:tcW w:type="dxa" w:w="2078"/>
          </w:tcPr>
          <w:p>
            <w:pPr>
              <w:spacing w:after="40"/>
            </w:pPr>
            <w:r>
              <w:rPr>
                <w:sz w:val="18"/>
              </w:rPr>
            </w:r>
            <w:r>
              <w:rPr>
                <w:b w:val="0"/>
                <w:i w:val="0"/>
                <w:sz w:val="18"/>
              </w:rPr>
              <w:t>Ocular irritation, white precipitate, unpleasant taste after instillation</w:t>
            </w:r>
          </w:p>
        </w:tc>
        <w:tc>
          <w:tcPr>
            <w:tcW w:type="dxa" w:w="2078"/>
          </w:tcPr>
          <w:p>
            <w:pPr>
              <w:spacing w:after="40"/>
            </w:pPr>
            <w:r>
              <w:rPr>
                <w:sz w:val="18"/>
              </w:rPr>
            </w:r>
            <w:r>
              <w:rPr>
                <w:b w:val="0"/>
                <w:i w:val="0"/>
                <w:sz w:val="18"/>
              </w:rPr>
              <w:t>Emerging resistance; expensive</w:t>
            </w:r>
          </w:p>
        </w:tc>
        <w:tc>
          <w:tcPr>
            <w:tcW w:type="dxa" w:w="2078"/>
          </w:tcPr>
          <w:p>
            <w:pPr>
              <w:spacing w:after="40"/>
            </w:pPr>
            <w:r>
              <w:rPr>
                <w:sz w:val="18"/>
              </w:rPr>
            </w:r>
            <w:r>
              <w:rPr>
                <w:b w:val="0"/>
                <w:i w:val="0"/>
                <w:sz w:val="18"/>
              </w:rPr>
              <w:t>Inhibits DNA gyrase and topoisomerase IV</w:t>
            </w:r>
          </w:p>
        </w:tc>
        <w:tc>
          <w:tcPr>
            <w:tcW w:type="dxa" w:w="2078"/>
          </w:tcPr>
          <w:p>
            <w:pPr>
              <w:spacing w:after="40"/>
            </w:pPr>
            <w:r>
              <w:rPr>
                <w:sz w:val="18"/>
              </w:rPr>
            </w:r>
            <w:r>
              <w:rPr>
                <w:b w:val="0"/>
                <w:i w:val="0"/>
                <w:sz w:val="18"/>
              </w:rPr>
              <w:t>slide 21</w:t>
            </w:r>
          </w:p>
        </w:tc>
      </w:tr>
      <w:tr>
        <w:tc>
          <w:tcPr>
            <w:tcW w:type="dxa" w:w="2078"/>
          </w:tcPr>
          <w:p>
            <w:pPr>
              <w:spacing w:after="40"/>
            </w:pPr>
            <w:r>
              <w:rPr>
                <w:sz w:val="18"/>
              </w:rPr>
            </w:r>
            <w:r>
              <w:rPr>
                <w:b w:val="0"/>
                <w:i w:val="0"/>
                <w:sz w:val="18"/>
              </w:rPr>
              <w:t>Moxifloxacin (Vigamox), ofloxacin, levofloxacin, gatifloxacin</w:t>
            </w:r>
          </w:p>
        </w:tc>
        <w:tc>
          <w:tcPr>
            <w:tcW w:type="dxa" w:w="2078"/>
          </w:tcPr>
          <w:p>
            <w:pPr>
              <w:spacing w:after="40"/>
            </w:pPr>
            <w:r>
              <w:rPr>
                <w:sz w:val="18"/>
              </w:rPr>
            </w:r>
            <w:r>
              <w:rPr>
                <w:b w:val="0"/>
                <w:i w:val="0"/>
                <w:sz w:val="18"/>
              </w:rPr>
              <w:t>Conjunctivitis; corneal ulcers</w:t>
            </w:r>
          </w:p>
        </w:tc>
        <w:tc>
          <w:tcPr>
            <w:tcW w:type="dxa" w:w="2078"/>
          </w:tcPr>
          <w:p>
            <w:pPr>
              <w:spacing w:after="40"/>
            </w:pPr>
            <w:r>
              <w:rPr>
                <w:sz w:val="18"/>
              </w:rPr>
            </w:r>
            <w:r>
              <w:rPr>
                <w:b w:val="0"/>
                <w:i w:val="0"/>
                <w:sz w:val="18"/>
              </w:rPr>
              <w:t>PREFERRED for corneal ulcers or suspected Pseudomonas, and for conjunctivitis in CONTACT LENS WEARERS once keratitis is excluded.</w:t>
            </w:r>
          </w:p>
        </w:tc>
        <w:tc>
          <w:tcPr>
            <w:tcW w:type="dxa" w:w="2078"/>
          </w:tcPr>
          <w:p>
            <w:pPr>
              <w:spacing w:after="40"/>
            </w:pPr>
            <w:r>
              <w:rPr>
                <w:sz w:val="18"/>
              </w:rPr>
            </w:r>
            <w:r>
              <w:rPr>
                <w:b w:val="0"/>
                <w:i w:val="0"/>
                <w:sz w:val="18"/>
              </w:rPr>
              <w:t>Ocular irritation, unpleasant taste after instillation</w:t>
            </w:r>
          </w:p>
        </w:tc>
        <w:tc>
          <w:tcPr>
            <w:tcW w:type="dxa" w:w="2078"/>
          </w:tcPr>
          <w:p>
            <w:pPr>
              <w:spacing w:after="40"/>
            </w:pPr>
            <w:r>
              <w:rPr>
                <w:sz w:val="18"/>
              </w:rPr>
            </w:r>
            <w:r>
              <w:rPr>
                <w:b w:val="0"/>
                <w:i w:val="0"/>
                <w:sz w:val="18"/>
              </w:rPr>
              <w:t>Expensive; emerging resistance</w:t>
            </w:r>
          </w:p>
        </w:tc>
        <w:tc>
          <w:tcPr>
            <w:tcW w:type="dxa" w:w="2078"/>
          </w:tcPr>
          <w:p>
            <w:pPr>
              <w:spacing w:after="40"/>
            </w:pPr>
            <w:r>
              <w:rPr>
                <w:sz w:val="18"/>
              </w:rPr>
            </w:r>
            <w:r>
              <w:rPr>
                <w:b w:val="0"/>
                <w:i w:val="0"/>
                <w:sz w:val="18"/>
              </w:rPr>
              <w:t>Inhibits DNA gyrase and topoisomerase IV</w:t>
            </w:r>
          </w:p>
        </w:tc>
        <w:tc>
          <w:tcPr>
            <w:tcW w:type="dxa" w:w="2078"/>
          </w:tcPr>
          <w:p>
            <w:pPr>
              <w:spacing w:after="40"/>
            </w:pPr>
            <w:r>
              <w:rPr>
                <w:sz w:val="18"/>
              </w:rPr>
            </w:r>
            <w:r>
              <w:rPr>
                <w:b w:val="0"/>
                <w:i w:val="0"/>
                <w:sz w:val="18"/>
              </w:rPr>
              <w:t>slide 22</w:t>
            </w:r>
          </w:p>
        </w:tc>
      </w:tr>
      <w:tr>
        <w:tc>
          <w:tcPr>
            <w:tcW w:type="dxa" w:w="2078"/>
          </w:tcPr>
          <w:p>
            <w:pPr>
              <w:spacing w:after="40"/>
            </w:pPr>
            <w:r>
              <w:rPr>
                <w:sz w:val="18"/>
              </w:rPr>
            </w:r>
            <w:r>
              <w:rPr>
                <w:b w:val="0"/>
                <w:i w:val="0"/>
                <w:sz w:val="18"/>
              </w:rPr>
              <w:t>Gentamicin, tobramycin (Tobrex)</w:t>
            </w:r>
          </w:p>
        </w:tc>
        <w:tc>
          <w:tcPr>
            <w:tcW w:type="dxa" w:w="2078"/>
          </w:tcPr>
          <w:p>
            <w:pPr>
              <w:spacing w:after="40"/>
            </w:pPr>
            <w:r>
              <w:rPr>
                <w:sz w:val="18"/>
              </w:rPr>
            </w:r>
            <w:r>
              <w:rPr>
                <w:b w:val="0"/>
                <w:i w:val="0"/>
                <w:sz w:val="18"/>
              </w:rPr>
              <w:t>Conjunctivitis and external infections of the eye and adnexa</w:t>
            </w:r>
          </w:p>
        </w:tc>
        <w:tc>
          <w:tcPr>
            <w:tcW w:type="dxa" w:w="2078"/>
          </w:tcPr>
          <w:p>
            <w:pPr>
              <w:spacing w:after="40"/>
            </w:pPr>
            <w:r>
              <w:rPr>
                <w:sz w:val="18"/>
              </w:rPr>
            </w:r>
            <w:r>
              <w:rPr>
                <w:b w:val="0"/>
                <w:i w:val="0"/>
                <w:sz w:val="18"/>
              </w:rPr>
              <w:t>Watch for CORNEAL ULCERATION and reactive keratoconjunctivitis after several days of use — the one adverse effect specific enough to attach to a class.</w:t>
            </w:r>
          </w:p>
        </w:tc>
        <w:tc>
          <w:tcPr>
            <w:tcW w:type="dxa" w:w="2078"/>
          </w:tcPr>
          <w:p>
            <w:pPr>
              <w:spacing w:after="40"/>
            </w:pPr>
            <w:r>
              <w:rPr>
                <w:sz w:val="18"/>
              </w:rPr>
            </w:r>
            <w:r>
              <w:rPr>
                <w:b w:val="0"/>
                <w:i w:val="0"/>
                <w:sz w:val="18"/>
              </w:rPr>
              <w:t>Ocular irritation, CORNEAL ULCERATION, reactive keratoconjunctivitis</w:t>
            </w:r>
          </w:p>
        </w:tc>
        <w:tc>
          <w:tcPr>
            <w:tcW w:type="dxa" w:w="2078"/>
          </w:tcPr>
          <w:p>
            <w:pPr>
              <w:spacing w:after="40"/>
            </w:pPr>
            <w:r>
              <w:rPr>
                <w:sz w:val="18"/>
              </w:rPr>
            </w:r>
            <w:r>
              <w:rPr>
                <w:b w:val="0"/>
                <w:i w:val="0"/>
                <w:sz w:val="18"/>
              </w:rPr>
              <w:t>Prolonged use</w:t>
            </w:r>
          </w:p>
        </w:tc>
        <w:tc>
          <w:tcPr>
            <w:tcW w:type="dxa" w:w="2078"/>
          </w:tcPr>
          <w:p>
            <w:pPr>
              <w:spacing w:after="40"/>
            </w:pPr>
            <w:r>
              <w:rPr>
                <w:sz w:val="18"/>
              </w:rPr>
            </w:r>
            <w:r>
              <w:rPr>
                <w:b w:val="0"/>
                <w:i w:val="0"/>
                <w:sz w:val="18"/>
              </w:rPr>
              <w:t>Binds the 30S ribosomal subunit</w:t>
            </w:r>
          </w:p>
        </w:tc>
        <w:tc>
          <w:tcPr>
            <w:tcW w:type="dxa" w:w="2078"/>
          </w:tcPr>
          <w:p>
            <w:pPr>
              <w:spacing w:after="40"/>
            </w:pPr>
            <w:r>
              <w:rPr>
                <w:sz w:val="18"/>
              </w:rPr>
            </w:r>
            <w:r>
              <w:rPr>
                <w:b w:val="0"/>
                <w:i w:val="0"/>
                <w:sz w:val="18"/>
              </w:rPr>
              <w:t>slide 23</w:t>
            </w:r>
          </w:p>
        </w:tc>
      </w:tr>
      <w:tr>
        <w:tc>
          <w:tcPr>
            <w:tcW w:type="dxa" w:w="2078"/>
          </w:tcPr>
          <w:p>
            <w:pPr>
              <w:spacing w:after="40"/>
            </w:pPr>
            <w:r>
              <w:rPr>
                <w:sz w:val="18"/>
              </w:rPr>
            </w:r>
            <w:r>
              <w:rPr>
                <w:b w:val="0"/>
                <w:i w:val="0"/>
                <w:sz w:val="18"/>
              </w:rPr>
              <w:t>Sulfacetamide sodium</w:t>
            </w:r>
          </w:p>
        </w:tc>
        <w:tc>
          <w:tcPr>
            <w:tcW w:type="dxa" w:w="2078"/>
          </w:tcPr>
          <w:p>
            <w:pPr>
              <w:spacing w:after="40"/>
            </w:pPr>
            <w:r>
              <w:rPr>
                <w:sz w:val="18"/>
              </w:rPr>
            </w:r>
            <w:r>
              <w:rPr>
                <w:b w:val="0"/>
                <w:i w:val="0"/>
                <w:sz w:val="18"/>
              </w:rPr>
              <w:t>Bacterial conjunctivitis and other superficial ocular infection</w:t>
            </w:r>
          </w:p>
        </w:tc>
        <w:tc>
          <w:tcPr>
            <w:tcW w:type="dxa" w:w="2078"/>
          </w:tcPr>
          <w:p>
            <w:pPr>
              <w:spacing w:after="40"/>
            </w:pPr>
            <w:r>
              <w:rPr>
                <w:sz w:val="18"/>
              </w:rPr>
            </w:r>
            <w:r>
              <w:rPr>
                <w:b w:val="0"/>
                <w:i w:val="0"/>
                <w:sz w:val="18"/>
              </w:rPr>
              <w:t>Ask about sulfa allergy before prescribing.</w:t>
            </w:r>
          </w:p>
        </w:tc>
        <w:tc>
          <w:tcPr>
            <w:tcW w:type="dxa" w:w="2078"/>
          </w:tcPr>
          <w:p>
            <w:pPr>
              <w:spacing w:after="40"/>
            </w:pPr>
            <w:r>
              <w:rPr>
                <w:sz w:val="18"/>
              </w:rPr>
            </w:r>
            <w:r>
              <w:rPr>
                <w:b w:val="0"/>
                <w:i w:val="0"/>
                <w:sz w:val="18"/>
              </w:rPr>
              <w:t>Ocular irritation, allergic reactions</w:t>
            </w:r>
          </w:p>
        </w:tc>
        <w:tc>
          <w:tcPr>
            <w:tcW w:type="dxa" w:w="2078"/>
          </w:tcPr>
          <w:p>
            <w:pPr>
              <w:spacing w:after="40"/>
            </w:pPr>
            <w:r>
              <w:rPr>
                <w:sz w:val="18"/>
              </w:rPr>
            </w:r>
            <w:r>
              <w:rPr>
                <w:b w:val="0"/>
                <w:i w:val="0"/>
                <w:sz w:val="18"/>
              </w:rPr>
              <w:t>AVOID in sulfonamide allergy</w:t>
            </w:r>
          </w:p>
        </w:tc>
        <w:tc>
          <w:tcPr>
            <w:tcW w:type="dxa" w:w="2078"/>
          </w:tcPr>
          <w:p>
            <w:pPr>
              <w:spacing w:after="40"/>
            </w:pPr>
            <w:r>
              <w:rPr>
                <w:sz w:val="18"/>
              </w:rPr>
            </w:r>
            <w:r>
              <w:rPr>
                <w:b w:val="0"/>
                <w:i w:val="0"/>
                <w:sz w:val="18"/>
              </w:rPr>
              <w:t>Antagonizes PABA to block folic acid synthesis</w:t>
            </w:r>
          </w:p>
        </w:tc>
        <w:tc>
          <w:tcPr>
            <w:tcW w:type="dxa" w:w="2078"/>
          </w:tcPr>
          <w:p>
            <w:pPr>
              <w:spacing w:after="40"/>
            </w:pPr>
            <w:r>
              <w:rPr>
                <w:sz w:val="18"/>
              </w:rPr>
            </w:r>
            <w:r>
              <w:rPr>
                <w:b w:val="0"/>
                <w:i w:val="0"/>
                <w:sz w:val="18"/>
              </w:rPr>
              <w:t>slide 19</w:t>
            </w:r>
          </w:p>
        </w:tc>
      </w:tr>
      <w:tr>
        <w:tc>
          <w:tcPr>
            <w:tcW w:type="dxa" w:w="2078"/>
          </w:tcPr>
          <w:p>
            <w:pPr>
              <w:spacing w:after="40"/>
            </w:pPr>
            <w:r>
              <w:rPr>
                <w:sz w:val="18"/>
              </w:rPr>
            </w:r>
            <w:r>
              <w:rPr>
                <w:b w:val="0"/>
                <w:i w:val="0"/>
                <w:sz w:val="18"/>
              </w:rPr>
              <w:t>Bacitracin (ointment)</w:t>
            </w:r>
          </w:p>
        </w:tc>
        <w:tc>
          <w:tcPr>
            <w:tcW w:type="dxa" w:w="2078"/>
          </w:tcPr>
          <w:p>
            <w:pPr>
              <w:spacing w:after="40"/>
            </w:pPr>
            <w:r>
              <w:rPr>
                <w:sz w:val="18"/>
              </w:rPr>
            </w:r>
            <w:r>
              <w:rPr>
                <w:b w:val="0"/>
                <w:i w:val="0"/>
                <w:sz w:val="18"/>
              </w:rPr>
              <w:t>Bacterial conjunctivitis, blepharitis, keratitis, corneal ulcers, meibomianitis</w:t>
            </w:r>
          </w:p>
        </w:tc>
        <w:tc>
          <w:tcPr>
            <w:tcW w:type="dxa" w:w="2078"/>
          </w:tcPr>
          <w:p>
            <w:pPr>
              <w:spacing w:after="40"/>
            </w:pPr>
            <w:r>
              <w:rPr>
                <w:sz w:val="18"/>
              </w:rPr>
            </w:r>
            <w:r>
              <w:rPr>
                <w:b w:val="0"/>
                <w:i w:val="0"/>
                <w:sz w:val="18"/>
              </w:rPr>
              <w:t>Inexpensive ointment for lid and surface disease.</w:t>
            </w:r>
          </w:p>
        </w:tc>
        <w:tc>
          <w:tcPr>
            <w:tcW w:type="dxa" w:w="2078"/>
          </w:tcPr>
          <w:p>
            <w:pPr>
              <w:spacing w:after="40"/>
            </w:pPr>
            <w:r>
              <w:rPr>
                <w:sz w:val="18"/>
              </w:rPr>
            </w:r>
            <w:r>
              <w:rPr>
                <w:b w:val="0"/>
                <w:i w:val="0"/>
                <w:sz w:val="18"/>
              </w:rPr>
              <w:t>Ocular irritation</w:t>
            </w:r>
          </w:p>
        </w:tc>
        <w:tc>
          <w:tcPr>
            <w:tcW w:type="dxa" w:w="2078"/>
          </w:tcPr>
          <w:p>
            <w:pPr>
              <w:spacing w:after="40"/>
            </w:pPr>
            <w:r>
              <w:rPr>
                <w:sz w:val="18"/>
              </w:rPr>
            </w:r>
            <w:r>
              <w:rPr>
                <w:b w:val="0"/>
                <w:i w:val="0"/>
                <w:sz w:val="18"/>
              </w:rPr>
              <w:t>None specific</w:t>
            </w:r>
          </w:p>
        </w:tc>
        <w:tc>
          <w:tcPr>
            <w:tcW w:type="dxa" w:w="2078"/>
          </w:tcPr>
          <w:p>
            <w:pPr>
              <w:spacing w:after="40"/>
            </w:pPr>
            <w:r>
              <w:rPr>
                <w:sz w:val="18"/>
              </w:rPr>
            </w:r>
            <w:r>
              <w:rPr>
                <w:b w:val="0"/>
                <w:i w:val="0"/>
                <w:sz w:val="18"/>
              </w:rPr>
              <w:t>Blocks cell wall synthesis by preventing mucopeptide transfer</w:t>
            </w:r>
          </w:p>
        </w:tc>
        <w:tc>
          <w:tcPr>
            <w:tcW w:type="dxa" w:w="2078"/>
          </w:tcPr>
          <w:p>
            <w:pPr>
              <w:spacing w:after="40"/>
            </w:pPr>
            <w:r>
              <w:rPr>
                <w:sz w:val="18"/>
              </w:rPr>
            </w:r>
            <w:r>
              <w:rPr>
                <w:b w:val="0"/>
                <w:i w:val="0"/>
                <w:sz w:val="18"/>
              </w:rPr>
              <w:t>slide 20</w:t>
            </w:r>
          </w:p>
        </w:tc>
      </w:tr>
      <w:tr>
        <w:tc>
          <w:tcPr>
            <w:tcW w:type="dxa" w:w="2078"/>
          </w:tcPr>
          <w:p>
            <w:pPr>
              <w:spacing w:after="40"/>
            </w:pPr>
            <w:r>
              <w:rPr>
                <w:sz w:val="18"/>
              </w:rPr>
            </w:r>
            <w:r>
              <w:rPr>
                <w:b w:val="0"/>
                <w:i w:val="0"/>
                <w:sz w:val="18"/>
              </w:rPr>
              <w:t>Trimethoprim / polymyxin B (Polytrim)</w:t>
            </w:r>
          </w:p>
        </w:tc>
        <w:tc>
          <w:tcPr>
            <w:tcW w:type="dxa" w:w="2078"/>
          </w:tcPr>
          <w:p>
            <w:pPr>
              <w:spacing w:after="40"/>
            </w:pPr>
            <w:r>
              <w:rPr>
                <w:sz w:val="18"/>
              </w:rPr>
            </w:r>
            <w:r>
              <w:rPr>
                <w:b w:val="0"/>
                <w:i w:val="0"/>
                <w:sz w:val="18"/>
              </w:rPr>
              <w:t>Bacterial conjunctivitis</w:t>
            </w:r>
          </w:p>
        </w:tc>
        <w:tc>
          <w:tcPr>
            <w:tcW w:type="dxa" w:w="2078"/>
          </w:tcPr>
          <w:p>
            <w:pPr>
              <w:spacing w:after="40"/>
            </w:pPr>
            <w:r>
              <w:rPr>
                <w:sz w:val="18"/>
              </w:rPr>
            </w:r>
            <w:r>
              <w:rPr>
                <w:b w:val="0"/>
                <w:i w:val="0"/>
                <w:sz w:val="18"/>
              </w:rPr>
              <w:t>A combination of two different mechanisms in one drop.</w:t>
            </w:r>
          </w:p>
        </w:tc>
        <w:tc>
          <w:tcPr>
            <w:tcW w:type="dxa" w:w="2078"/>
          </w:tcPr>
          <w:p>
            <w:pPr>
              <w:spacing w:after="40"/>
            </w:pPr>
            <w:r>
              <w:rPr>
                <w:sz w:val="18"/>
              </w:rPr>
            </w:r>
            <w:r>
              <w:rPr>
                <w:b w:val="0"/>
                <w:i w:val="0"/>
                <w:sz w:val="18"/>
              </w:rPr>
              <w:t>Ocular irritation</w:t>
            </w:r>
          </w:p>
        </w:tc>
        <w:tc>
          <w:tcPr>
            <w:tcW w:type="dxa" w:w="2078"/>
          </w:tcPr>
          <w:p>
            <w:pPr>
              <w:spacing w:after="40"/>
            </w:pPr>
            <w:r>
              <w:rPr>
                <w:sz w:val="18"/>
              </w:rPr>
            </w:r>
            <w:r>
              <w:rPr>
                <w:b w:val="0"/>
                <w:i w:val="0"/>
                <w:sz w:val="18"/>
              </w:rPr>
              <w:t>None clinically</w:t>
            </w:r>
          </w:p>
        </w:tc>
        <w:tc>
          <w:tcPr>
            <w:tcW w:type="dxa" w:w="2078"/>
          </w:tcPr>
          <w:p>
            <w:pPr>
              <w:spacing w:after="40"/>
            </w:pPr>
            <w:r>
              <w:rPr>
                <w:sz w:val="18"/>
              </w:rPr>
            </w:r>
            <w:r>
              <w:rPr>
                <w:b w:val="0"/>
                <w:i w:val="0"/>
                <w:sz w:val="18"/>
              </w:rPr>
              <w:t>Trimethoprim blocks reduction of folic acid to tetrahydrofolate; polymyxin B binds membrane phospholipids and lets contents leak</w:t>
            </w:r>
          </w:p>
        </w:tc>
        <w:tc>
          <w:tcPr>
            <w:tcW w:type="dxa" w:w="2078"/>
          </w:tcPr>
          <w:p>
            <w:pPr>
              <w:spacing w:after="40"/>
            </w:pPr>
            <w:r>
              <w:rPr>
                <w:sz w:val="18"/>
              </w:rPr>
            </w:r>
            <w:r>
              <w:rPr>
                <w:b w:val="0"/>
                <w:i w:val="0"/>
                <w:sz w:val="18"/>
              </w:rPr>
              <w:t>slide 18</w:t>
            </w:r>
          </w:p>
        </w:tc>
      </w:tr>
    </w:tbl>
    <w:p>
      <w:pPr>
        <w:spacing w:after="80"/>
      </w:pPr>
    </w:p>
    <w:p>
      <w:pPr>
        <w:pStyle w:val="Heading1"/>
        <w:spacing w:before="280" w:after="100"/>
      </w:pPr>
      <w:r>
        <w:rPr>
          <w:rFonts w:ascii="Georgia" w:hAnsi="Georgia"/>
          <w:color w:val="6B3524"/>
        </w:rPr>
        <w:t>Antiviral</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078"/>
        <w:gridCol w:w="2078"/>
        <w:gridCol w:w="2078"/>
        <w:gridCol w:w="2078"/>
        <w:gridCol w:w="2078"/>
        <w:gridCol w:w="2078"/>
        <w:gridCol w:w="2078"/>
      </w:tblGrid>
      <w:tr>
        <w:tc>
          <w:tcPr>
            <w:tcW w:type="dxa" w:w="2078"/>
            <w:shd w:val="clear" w:color="auto" w:fill="6B3524"/>
          </w:tcPr>
          <w:p>
            <w:pPr>
              <w:spacing w:after="40"/>
            </w:pPr>
            <w:r>
              <w:rPr>
                <w:b/>
                <w:color w:val="FFFFFF"/>
                <w:sz w:val="18"/>
              </w:rPr>
            </w:r>
            <w:r>
              <w:rPr>
                <w:b/>
                <w:i w:val="0"/>
                <w:color w:val="FFFFFF"/>
                <w:sz w:val="18"/>
              </w:rPr>
              <w:t>Agent</w:t>
            </w:r>
          </w:p>
        </w:tc>
        <w:tc>
          <w:tcPr>
            <w:tcW w:type="dxa" w:w="2078"/>
            <w:shd w:val="clear" w:color="auto" w:fill="6B3524"/>
          </w:tcPr>
          <w:p>
            <w:pPr>
              <w:spacing w:after="40"/>
            </w:pPr>
            <w:r>
              <w:rPr>
                <w:b/>
                <w:color w:val="FFFFFF"/>
                <w:sz w:val="18"/>
              </w:rPr>
            </w:r>
            <w:r>
              <w:rPr>
                <w:b/>
                <w:i w:val="0"/>
                <w:color w:val="FFFFFF"/>
                <w:sz w:val="18"/>
              </w:rPr>
              <w:t>Indication</w:t>
            </w:r>
          </w:p>
        </w:tc>
        <w:tc>
          <w:tcPr>
            <w:tcW w:type="dxa" w:w="2078"/>
            <w:shd w:val="clear" w:color="auto" w:fill="6B3524"/>
          </w:tcPr>
          <w:p>
            <w:pPr>
              <w:spacing w:after="40"/>
            </w:pPr>
            <w:r>
              <w:rPr>
                <w:b/>
                <w:color w:val="FFFFFF"/>
                <w:sz w:val="18"/>
              </w:rPr>
            </w:r>
            <w:r>
              <w:rPr>
                <w:b/>
                <w:i w:val="0"/>
                <w:color w:val="FFFFFF"/>
                <w:sz w:val="18"/>
              </w:rPr>
              <w:t>Patient education</w:t>
            </w:r>
          </w:p>
        </w:tc>
        <w:tc>
          <w:tcPr>
            <w:tcW w:type="dxa" w:w="2078"/>
            <w:shd w:val="clear" w:color="auto" w:fill="6B3524"/>
          </w:tcPr>
          <w:p>
            <w:pPr>
              <w:spacing w:after="40"/>
            </w:pPr>
            <w:r>
              <w:rPr>
                <w:b/>
                <w:color w:val="FFFFFF"/>
                <w:sz w:val="18"/>
              </w:rPr>
            </w:r>
            <w:r>
              <w:rPr>
                <w:b/>
                <w:i w:val="0"/>
                <w:color w:val="FFFFFF"/>
                <w:sz w:val="18"/>
              </w:rPr>
              <w:t>Side effects</w:t>
            </w:r>
          </w:p>
        </w:tc>
        <w:tc>
          <w:tcPr>
            <w:tcW w:type="dxa" w:w="2078"/>
            <w:shd w:val="clear" w:color="auto" w:fill="6B3524"/>
          </w:tcPr>
          <w:p>
            <w:pPr>
              <w:spacing w:after="40"/>
            </w:pPr>
            <w:r>
              <w:rPr>
                <w:b/>
                <w:color w:val="FFFFFF"/>
                <w:sz w:val="18"/>
              </w:rPr>
            </w:r>
            <w:r>
              <w:rPr>
                <w:b/>
                <w:i w:val="0"/>
                <w:color w:val="FFFFFF"/>
                <w:sz w:val="18"/>
              </w:rPr>
              <w:t>Contraindications &amp; cautions</w:t>
            </w:r>
          </w:p>
        </w:tc>
        <w:tc>
          <w:tcPr>
            <w:tcW w:type="dxa" w:w="2078"/>
            <w:shd w:val="clear" w:color="auto" w:fill="6B3524"/>
          </w:tcPr>
          <w:p>
            <w:pPr>
              <w:spacing w:after="40"/>
            </w:pPr>
            <w:r>
              <w:rPr>
                <w:b/>
                <w:color w:val="FFFFFF"/>
                <w:sz w:val="18"/>
              </w:rPr>
            </w:r>
            <w:r>
              <w:rPr>
                <w:b/>
                <w:i w:val="0"/>
                <w:color w:val="FFFFFF"/>
                <w:sz w:val="18"/>
              </w:rPr>
              <w:t>Mechanism</w:t>
            </w:r>
          </w:p>
        </w:tc>
        <w:tc>
          <w:tcPr>
            <w:tcW w:type="dxa" w:w="2078"/>
            <w:shd w:val="clear" w:color="auto" w:fill="6B3524"/>
          </w:tcPr>
          <w:p>
            <w:pPr>
              <w:spacing w:after="40"/>
            </w:pPr>
            <w:r>
              <w:rPr>
                <w:b/>
                <w:color w:val="FFFFFF"/>
                <w:sz w:val="18"/>
              </w:rPr>
            </w:r>
            <w:r>
              <w:rPr>
                <w:b/>
                <w:i w:val="0"/>
                <w:color w:val="FFFFFF"/>
                <w:sz w:val="18"/>
              </w:rPr>
              <w:t>Slide</w:t>
            </w:r>
          </w:p>
        </w:tc>
      </w:tr>
      <w:tr>
        <w:tc>
          <w:tcPr>
            <w:tcW w:type="dxa" w:w="2078"/>
          </w:tcPr>
          <w:p>
            <w:pPr>
              <w:spacing w:after="40"/>
            </w:pPr>
            <w:r>
              <w:rPr>
                <w:sz w:val="18"/>
              </w:rPr>
            </w:r>
            <w:r>
              <w:rPr>
                <w:b w:val="0"/>
                <w:i w:val="0"/>
                <w:sz w:val="18"/>
              </w:rPr>
              <w:t>Trifluridine (Viroptic)</w:t>
            </w:r>
          </w:p>
        </w:tc>
        <w:tc>
          <w:tcPr>
            <w:tcW w:type="dxa" w:w="2078"/>
          </w:tcPr>
          <w:p>
            <w:pPr>
              <w:spacing w:after="40"/>
            </w:pPr>
            <w:r>
              <w:rPr>
                <w:sz w:val="18"/>
              </w:rPr>
            </w:r>
            <w:r>
              <w:rPr>
                <w:b w:val="0"/>
                <w:i w:val="0"/>
                <w:sz w:val="18"/>
              </w:rPr>
              <w:t>Herpes simplex keratitis and keratoconjunctivitis</w:t>
            </w:r>
          </w:p>
        </w:tc>
        <w:tc>
          <w:tcPr>
            <w:tcW w:type="dxa" w:w="2078"/>
          </w:tcPr>
          <w:p>
            <w:pPr>
              <w:spacing w:after="40"/>
            </w:pPr>
            <w:r>
              <w:rPr>
                <w:sz w:val="18"/>
              </w:rPr>
            </w:r>
            <w:r>
              <w:rPr>
                <w:b w:val="0"/>
                <w:i w:val="0"/>
                <w:sz w:val="18"/>
              </w:rPr>
              <w:t>The topical antiviral. Adenoviral conjunctivitis has NO antiviral — it is self-limited and treated symptomatically.</w:t>
            </w:r>
          </w:p>
        </w:tc>
        <w:tc>
          <w:tcPr>
            <w:tcW w:type="dxa" w:w="2078"/>
          </w:tcPr>
          <w:p>
            <w:pPr>
              <w:spacing w:after="40"/>
            </w:pPr>
            <w:r>
              <w:rPr>
                <w:sz w:val="18"/>
              </w:rPr>
            </w:r>
            <w:r>
              <w:rPr>
                <w:b w:val="0"/>
                <w:i w:val="0"/>
                <w:sz w:val="18"/>
              </w:rPr>
              <w:t>Ocular irritation, PUNCTATE KERATOPATHY, hypersensitivity</w:t>
            </w:r>
          </w:p>
        </w:tc>
        <w:tc>
          <w:tcPr>
            <w:tcW w:type="dxa" w:w="2078"/>
          </w:tcPr>
          <w:p>
            <w:pPr>
              <w:spacing w:after="40"/>
            </w:pPr>
            <w:r>
              <w:rPr>
                <w:sz w:val="18"/>
              </w:rPr>
            </w:r>
            <w:r>
              <w:rPr>
                <w:b w:val="0"/>
                <w:i w:val="0"/>
                <w:sz w:val="18"/>
              </w:rPr>
              <w:t>None specific</w:t>
            </w:r>
          </w:p>
        </w:tc>
        <w:tc>
          <w:tcPr>
            <w:tcW w:type="dxa" w:w="2078"/>
          </w:tcPr>
          <w:p>
            <w:pPr>
              <w:spacing w:after="40"/>
            </w:pPr>
            <w:r>
              <w:rPr>
                <w:sz w:val="18"/>
              </w:rPr>
            </w:r>
            <w:r>
              <w:rPr>
                <w:b w:val="0"/>
                <w:i w:val="0"/>
                <w:sz w:val="18"/>
              </w:rPr>
              <w:t>Inhibits thymidylate synthetase and substitutes for thymidine in viral DNA</w:t>
            </w:r>
          </w:p>
        </w:tc>
        <w:tc>
          <w:tcPr>
            <w:tcW w:type="dxa" w:w="2078"/>
          </w:tcPr>
          <w:p>
            <w:pPr>
              <w:spacing w:after="40"/>
            </w:pPr>
            <w:r>
              <w:rPr>
                <w:sz w:val="18"/>
              </w:rPr>
            </w:r>
            <w:r>
              <w:rPr>
                <w:b w:val="0"/>
                <w:i w:val="0"/>
                <w:sz w:val="18"/>
              </w:rPr>
              <w:t>slide 27</w:t>
            </w:r>
          </w:p>
        </w:tc>
      </w:tr>
      <w:tr>
        <w:tc>
          <w:tcPr>
            <w:tcW w:type="dxa" w:w="2078"/>
          </w:tcPr>
          <w:p>
            <w:pPr>
              <w:spacing w:after="40"/>
            </w:pPr>
            <w:r>
              <w:rPr>
                <w:sz w:val="18"/>
              </w:rPr>
            </w:r>
            <w:r>
              <w:rPr>
                <w:b w:val="0"/>
                <w:i w:val="0"/>
                <w:sz w:val="18"/>
              </w:rPr>
              <w:t>Ganciclovir (Zirgan)</w:t>
            </w:r>
          </w:p>
        </w:tc>
        <w:tc>
          <w:tcPr>
            <w:tcW w:type="dxa" w:w="2078"/>
          </w:tcPr>
          <w:p>
            <w:pPr>
              <w:spacing w:after="40"/>
            </w:pPr>
            <w:r>
              <w:rPr>
                <w:sz w:val="18"/>
              </w:rPr>
            </w:r>
            <w:r>
              <w:rPr>
                <w:b w:val="0"/>
                <w:i w:val="0"/>
                <w:sz w:val="18"/>
              </w:rPr>
              <w:t>Herpetic keratitis; cytomegalovirus retinitis by intravitreal injection</w:t>
            </w:r>
          </w:p>
        </w:tc>
        <w:tc>
          <w:tcPr>
            <w:tcW w:type="dxa" w:w="2078"/>
          </w:tcPr>
          <w:p>
            <w:pPr>
              <w:spacing w:after="40"/>
            </w:pPr>
            <w:r>
              <w:rPr>
                <w:sz w:val="18"/>
              </w:rPr>
            </w:r>
            <w:r>
              <w:rPr>
                <w:b w:val="0"/>
                <w:i w:val="0"/>
                <w:sz w:val="18"/>
              </w:rPr>
              <w:t>The other ophthalmic preparation alongside trifluridine.</w:t>
            </w:r>
          </w:p>
        </w:tc>
        <w:tc>
          <w:tcPr>
            <w:tcW w:type="dxa" w:w="2078"/>
          </w:tcPr>
          <w:p>
            <w:pPr>
              <w:spacing w:after="40"/>
            </w:pPr>
            <w:r>
              <w:rPr>
                <w:sz w:val="18"/>
              </w:rPr>
            </w:r>
            <w:r>
              <w:rPr>
                <w:b w:val="0"/>
                <w:i w:val="0"/>
                <w:sz w:val="18"/>
              </w:rPr>
              <w:t>Ocular irritation, punctate keratitis</w:t>
            </w:r>
          </w:p>
        </w:tc>
        <w:tc>
          <w:tcPr>
            <w:tcW w:type="dxa" w:w="2078"/>
          </w:tcPr>
          <w:p>
            <w:pPr>
              <w:spacing w:after="40"/>
            </w:pPr>
            <w:r>
              <w:rPr>
                <w:sz w:val="18"/>
              </w:rPr>
            </w:r>
            <w:r>
              <w:rPr>
                <w:b w:val="0"/>
                <w:i w:val="0"/>
                <w:sz w:val="18"/>
              </w:rPr>
              <w:t>None specific</w:t>
            </w:r>
          </w:p>
        </w:tc>
        <w:tc>
          <w:tcPr>
            <w:tcW w:type="dxa" w:w="2078"/>
          </w:tcPr>
          <w:p>
            <w:pPr>
              <w:spacing w:after="40"/>
            </w:pPr>
            <w:r>
              <w:rPr>
                <w:sz w:val="18"/>
              </w:rPr>
            </w:r>
            <w:r>
              <w:rPr>
                <w:b w:val="0"/>
                <w:i w:val="0"/>
                <w:sz w:val="18"/>
              </w:rPr>
              <w:t>Competitively inhibits deoxyguanosine triphosphate binding to DNA polymerase</w:t>
            </w:r>
          </w:p>
        </w:tc>
        <w:tc>
          <w:tcPr>
            <w:tcW w:type="dxa" w:w="2078"/>
          </w:tcPr>
          <w:p>
            <w:pPr>
              <w:spacing w:after="40"/>
            </w:pPr>
            <w:r>
              <w:rPr>
                <w:sz w:val="18"/>
              </w:rPr>
            </w:r>
            <w:r>
              <w:rPr>
                <w:b w:val="0"/>
                <w:i w:val="0"/>
                <w:sz w:val="18"/>
              </w:rPr>
              <w:t>slide 28</w:t>
            </w:r>
          </w:p>
        </w:tc>
      </w:tr>
      <w:tr>
        <w:tc>
          <w:tcPr>
            <w:tcW w:type="dxa" w:w="2078"/>
          </w:tcPr>
          <w:p>
            <w:pPr>
              <w:spacing w:after="40"/>
            </w:pPr>
            <w:r>
              <w:rPr>
                <w:sz w:val="18"/>
              </w:rPr>
            </w:r>
            <w:r>
              <w:rPr>
                <w:b w:val="0"/>
                <w:i w:val="0"/>
                <w:sz w:val="18"/>
              </w:rPr>
              <w:t>Acyclovir, valacyclovir, famciclovir</w:t>
            </w:r>
          </w:p>
        </w:tc>
        <w:tc>
          <w:tcPr>
            <w:tcW w:type="dxa" w:w="2078"/>
          </w:tcPr>
          <w:p>
            <w:pPr>
              <w:spacing w:after="40"/>
            </w:pPr>
            <w:r>
              <w:rPr>
                <w:sz w:val="18"/>
              </w:rPr>
            </w:r>
            <w:r>
              <w:rPr>
                <w:b w:val="0"/>
                <w:i w:val="0"/>
                <w:sz w:val="18"/>
              </w:rPr>
              <w:t>Herpes zoster ophthalmicus; herpes simplex keratitis and iridocyclitis</w:t>
            </w:r>
          </w:p>
        </w:tc>
        <w:tc>
          <w:tcPr>
            <w:tcW w:type="dxa" w:w="2078"/>
          </w:tcPr>
          <w:p>
            <w:pPr>
              <w:spacing w:after="40"/>
            </w:pPr>
            <w:r>
              <w:rPr>
                <w:sz w:val="18"/>
              </w:rPr>
            </w:r>
            <w:r>
              <w:rPr>
                <w:b w:val="0"/>
                <w:i w:val="0"/>
                <w:sz w:val="18"/>
              </w:rPr>
              <w:t>Oral or intravenous rather than topical.</w:t>
            </w:r>
          </w:p>
        </w:tc>
        <w:tc>
          <w:tcPr>
            <w:tcW w:type="dxa" w:w="2078"/>
          </w:tcPr>
          <w:p>
            <w:pPr>
              <w:spacing w:after="40"/>
            </w:pPr>
            <w:r>
              <w:rPr>
                <w:sz w:val="18"/>
              </w:rPr>
            </w:r>
            <w:r>
              <w:rPr>
                <w:b w:val="0"/>
                <w:i w:val="0"/>
                <w:sz w:val="18"/>
              </w:rPr>
              <w:t>Systemic</w:t>
            </w:r>
          </w:p>
        </w:tc>
        <w:tc>
          <w:tcPr>
            <w:tcW w:type="dxa" w:w="2078"/>
          </w:tcPr>
          <w:p>
            <w:pPr>
              <w:spacing w:after="40"/>
            </w:pPr>
            <w:r>
              <w:rPr>
                <w:sz w:val="18"/>
              </w:rPr>
            </w:r>
            <w:r>
              <w:rPr>
                <w:b w:val="0"/>
                <w:i w:val="0"/>
                <w:sz w:val="18"/>
              </w:rPr>
              <w:t>Renal dosing considerations</w:t>
            </w:r>
          </w:p>
        </w:tc>
        <w:tc>
          <w:tcPr>
            <w:tcW w:type="dxa" w:w="2078"/>
          </w:tcPr>
          <w:p>
            <w:pPr>
              <w:spacing w:after="40"/>
            </w:pPr>
            <w:r>
              <w:rPr>
                <w:sz w:val="18"/>
              </w:rPr>
            </w:r>
            <w:r>
              <w:rPr>
                <w:b w:val="0"/>
                <w:i w:val="0"/>
                <w:sz w:val="18"/>
              </w:rPr>
              <w:t>Nucleoside analogs</w:t>
            </w:r>
          </w:p>
        </w:tc>
        <w:tc>
          <w:tcPr>
            <w:tcW w:type="dxa" w:w="2078"/>
          </w:tcPr>
          <w:p>
            <w:pPr>
              <w:spacing w:after="40"/>
            </w:pPr>
            <w:r>
              <w:rPr>
                <w:sz w:val="18"/>
              </w:rPr>
            </w:r>
            <w:r>
              <w:rPr>
                <w:b w:val="0"/>
                <w:i w:val="0"/>
                <w:sz w:val="18"/>
              </w:rPr>
              <w:t>slide 26</w:t>
            </w:r>
          </w:p>
        </w:tc>
      </w:tr>
      <w:tr>
        <w:tc>
          <w:tcPr>
            <w:tcW w:type="dxa" w:w="2078"/>
          </w:tcPr>
          <w:p>
            <w:pPr>
              <w:spacing w:after="40"/>
            </w:pPr>
            <w:r>
              <w:rPr>
                <w:sz w:val="18"/>
              </w:rPr>
            </w:r>
            <w:r>
              <w:rPr>
                <w:b w:val="0"/>
                <w:i w:val="0"/>
                <w:sz w:val="18"/>
              </w:rPr>
              <w:t>Foscarnet, ganciclovir, valganciclovir, cidofovir</w:t>
            </w:r>
          </w:p>
        </w:tc>
        <w:tc>
          <w:tcPr>
            <w:tcW w:type="dxa" w:w="2078"/>
          </w:tcPr>
          <w:p>
            <w:pPr>
              <w:spacing w:after="40"/>
            </w:pPr>
            <w:r>
              <w:rPr>
                <w:sz w:val="18"/>
              </w:rPr>
            </w:r>
            <w:r>
              <w:rPr>
                <w:b w:val="0"/>
                <w:i w:val="0"/>
                <w:sz w:val="18"/>
              </w:rPr>
              <w:t>Cytomegalovirus retinitis</w:t>
            </w:r>
          </w:p>
        </w:tc>
        <w:tc>
          <w:tcPr>
            <w:tcW w:type="dxa" w:w="2078"/>
          </w:tcPr>
          <w:p>
            <w:pPr>
              <w:spacing w:after="40"/>
            </w:pPr>
            <w:r>
              <w:rPr>
                <w:sz w:val="18"/>
              </w:rPr>
            </w:r>
            <w:r>
              <w:rPr>
                <w:b w:val="0"/>
                <w:i w:val="0"/>
                <w:sz w:val="18"/>
              </w:rPr>
              <w:t>Intravenous, oral or intravitreal — specialty use cases.</w:t>
            </w:r>
          </w:p>
        </w:tc>
        <w:tc>
          <w:tcPr>
            <w:tcW w:type="dxa" w:w="2078"/>
          </w:tcPr>
          <w:p>
            <w:pPr>
              <w:spacing w:after="40"/>
            </w:pPr>
            <w:r>
              <w:rPr>
                <w:sz w:val="18"/>
              </w:rPr>
            </w:r>
            <w:r>
              <w:rPr>
                <w:b w:val="0"/>
                <w:i w:val="0"/>
                <w:sz w:val="18"/>
              </w:rPr>
              <w:t>Systemic toxicity</w:t>
            </w:r>
          </w:p>
        </w:tc>
        <w:tc>
          <w:tcPr>
            <w:tcW w:type="dxa" w:w="2078"/>
          </w:tcPr>
          <w:p>
            <w:pPr>
              <w:spacing w:after="40"/>
            </w:pPr>
            <w:r>
              <w:rPr>
                <w:sz w:val="18"/>
              </w:rPr>
            </w:r>
            <w:r>
              <w:rPr>
                <w:b w:val="0"/>
                <w:i w:val="0"/>
                <w:sz w:val="18"/>
              </w:rPr>
              <w:t>Specialty use</w:t>
            </w:r>
          </w:p>
        </w:tc>
        <w:tc>
          <w:tcPr>
            <w:tcW w:type="dxa" w:w="2078"/>
          </w:tcPr>
          <w:p>
            <w:pPr>
              <w:spacing w:after="40"/>
            </w:pPr>
            <w:r>
              <w:rPr>
                <w:sz w:val="18"/>
              </w:rPr>
            </w:r>
            <w:r>
              <w:rPr>
                <w:b w:val="0"/>
                <w:i w:val="0"/>
                <w:sz w:val="18"/>
              </w:rPr>
              <w:t>Various antiviral mechanisms</w:t>
            </w:r>
          </w:p>
        </w:tc>
        <w:tc>
          <w:tcPr>
            <w:tcW w:type="dxa" w:w="2078"/>
          </w:tcPr>
          <w:p>
            <w:pPr>
              <w:spacing w:after="40"/>
            </w:pPr>
            <w:r>
              <w:rPr>
                <w:sz w:val="18"/>
              </w:rPr>
            </w:r>
            <w:r>
              <w:rPr>
                <w:b w:val="0"/>
                <w:i w:val="0"/>
                <w:sz w:val="18"/>
              </w:rPr>
              <w:t>slide 26</w:t>
            </w:r>
          </w:p>
        </w:tc>
      </w:tr>
    </w:tbl>
    <w:p>
      <w:pPr>
        <w:spacing w:after="80"/>
      </w:pPr>
    </w:p>
    <w:p>
      <w:pPr>
        <w:pStyle w:val="Heading1"/>
        <w:spacing w:before="280" w:after="100"/>
      </w:pPr>
      <w:r>
        <w:rPr>
          <w:rFonts w:ascii="Georgia" w:hAnsi="Georgia"/>
          <w:color w:val="6B3524"/>
        </w:rPr>
        <w:t>Antifungal</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078"/>
        <w:gridCol w:w="2078"/>
        <w:gridCol w:w="2078"/>
        <w:gridCol w:w="2078"/>
        <w:gridCol w:w="2078"/>
        <w:gridCol w:w="2078"/>
        <w:gridCol w:w="2078"/>
      </w:tblGrid>
      <w:tr>
        <w:tc>
          <w:tcPr>
            <w:tcW w:type="dxa" w:w="2078"/>
            <w:shd w:val="clear" w:color="auto" w:fill="6B3524"/>
          </w:tcPr>
          <w:p>
            <w:pPr>
              <w:spacing w:after="40"/>
            </w:pPr>
            <w:r>
              <w:rPr>
                <w:b/>
                <w:color w:val="FFFFFF"/>
                <w:sz w:val="18"/>
              </w:rPr>
            </w:r>
            <w:r>
              <w:rPr>
                <w:b/>
                <w:i w:val="0"/>
                <w:color w:val="FFFFFF"/>
                <w:sz w:val="18"/>
              </w:rPr>
              <w:t>Agent</w:t>
            </w:r>
          </w:p>
        </w:tc>
        <w:tc>
          <w:tcPr>
            <w:tcW w:type="dxa" w:w="2078"/>
            <w:shd w:val="clear" w:color="auto" w:fill="6B3524"/>
          </w:tcPr>
          <w:p>
            <w:pPr>
              <w:spacing w:after="40"/>
            </w:pPr>
            <w:r>
              <w:rPr>
                <w:b/>
                <w:color w:val="FFFFFF"/>
                <w:sz w:val="18"/>
              </w:rPr>
            </w:r>
            <w:r>
              <w:rPr>
                <w:b/>
                <w:i w:val="0"/>
                <w:color w:val="FFFFFF"/>
                <w:sz w:val="18"/>
              </w:rPr>
              <w:t>Indication</w:t>
            </w:r>
          </w:p>
        </w:tc>
        <w:tc>
          <w:tcPr>
            <w:tcW w:type="dxa" w:w="2078"/>
            <w:shd w:val="clear" w:color="auto" w:fill="6B3524"/>
          </w:tcPr>
          <w:p>
            <w:pPr>
              <w:spacing w:after="40"/>
            </w:pPr>
            <w:r>
              <w:rPr>
                <w:b/>
                <w:color w:val="FFFFFF"/>
                <w:sz w:val="18"/>
              </w:rPr>
            </w:r>
            <w:r>
              <w:rPr>
                <w:b/>
                <w:i w:val="0"/>
                <w:color w:val="FFFFFF"/>
                <w:sz w:val="18"/>
              </w:rPr>
              <w:t>Patient education</w:t>
            </w:r>
          </w:p>
        </w:tc>
        <w:tc>
          <w:tcPr>
            <w:tcW w:type="dxa" w:w="2078"/>
            <w:shd w:val="clear" w:color="auto" w:fill="6B3524"/>
          </w:tcPr>
          <w:p>
            <w:pPr>
              <w:spacing w:after="40"/>
            </w:pPr>
            <w:r>
              <w:rPr>
                <w:b/>
                <w:color w:val="FFFFFF"/>
                <w:sz w:val="18"/>
              </w:rPr>
            </w:r>
            <w:r>
              <w:rPr>
                <w:b/>
                <w:i w:val="0"/>
                <w:color w:val="FFFFFF"/>
                <w:sz w:val="18"/>
              </w:rPr>
              <w:t>Side effects</w:t>
            </w:r>
          </w:p>
        </w:tc>
        <w:tc>
          <w:tcPr>
            <w:tcW w:type="dxa" w:w="2078"/>
            <w:shd w:val="clear" w:color="auto" w:fill="6B3524"/>
          </w:tcPr>
          <w:p>
            <w:pPr>
              <w:spacing w:after="40"/>
            </w:pPr>
            <w:r>
              <w:rPr>
                <w:b/>
                <w:color w:val="FFFFFF"/>
                <w:sz w:val="18"/>
              </w:rPr>
            </w:r>
            <w:r>
              <w:rPr>
                <w:b/>
                <w:i w:val="0"/>
                <w:color w:val="FFFFFF"/>
                <w:sz w:val="18"/>
              </w:rPr>
              <w:t>Contraindications &amp; cautions</w:t>
            </w:r>
          </w:p>
        </w:tc>
        <w:tc>
          <w:tcPr>
            <w:tcW w:type="dxa" w:w="2078"/>
            <w:shd w:val="clear" w:color="auto" w:fill="6B3524"/>
          </w:tcPr>
          <w:p>
            <w:pPr>
              <w:spacing w:after="40"/>
            </w:pPr>
            <w:r>
              <w:rPr>
                <w:b/>
                <w:color w:val="FFFFFF"/>
                <w:sz w:val="18"/>
              </w:rPr>
            </w:r>
            <w:r>
              <w:rPr>
                <w:b/>
                <w:i w:val="0"/>
                <w:color w:val="FFFFFF"/>
                <w:sz w:val="18"/>
              </w:rPr>
              <w:t>Mechanism</w:t>
            </w:r>
          </w:p>
        </w:tc>
        <w:tc>
          <w:tcPr>
            <w:tcW w:type="dxa" w:w="2078"/>
            <w:shd w:val="clear" w:color="auto" w:fill="6B3524"/>
          </w:tcPr>
          <w:p>
            <w:pPr>
              <w:spacing w:after="40"/>
            </w:pPr>
            <w:r>
              <w:rPr>
                <w:b/>
                <w:color w:val="FFFFFF"/>
                <w:sz w:val="18"/>
              </w:rPr>
            </w:r>
            <w:r>
              <w:rPr>
                <w:b/>
                <w:i w:val="0"/>
                <w:color w:val="FFFFFF"/>
                <w:sz w:val="18"/>
              </w:rPr>
              <w:t>Slide</w:t>
            </w:r>
          </w:p>
        </w:tc>
      </w:tr>
      <w:tr>
        <w:tc>
          <w:tcPr>
            <w:tcW w:type="dxa" w:w="2078"/>
          </w:tcPr>
          <w:p>
            <w:pPr>
              <w:spacing w:after="40"/>
            </w:pPr>
            <w:r>
              <w:rPr>
                <w:sz w:val="18"/>
              </w:rPr>
            </w:r>
            <w:r>
              <w:rPr>
                <w:b w:val="0"/>
                <w:i w:val="0"/>
                <w:sz w:val="18"/>
              </w:rPr>
              <w:t>Natamycin (Natacyn)</w:t>
            </w:r>
          </w:p>
        </w:tc>
        <w:tc>
          <w:tcPr>
            <w:tcW w:type="dxa" w:w="2078"/>
          </w:tcPr>
          <w:p>
            <w:pPr>
              <w:spacing w:after="40"/>
            </w:pPr>
            <w:r>
              <w:rPr>
                <w:sz w:val="18"/>
              </w:rPr>
            </w:r>
            <w:r>
              <w:rPr>
                <w:b w:val="0"/>
                <w:i w:val="0"/>
                <w:sz w:val="18"/>
              </w:rPr>
              <w:t>Conjunctivitis and keratitis from Aspergillus, Candida, Cephalosporium, Fusarium, Penicillium</w:t>
            </w:r>
          </w:p>
        </w:tc>
        <w:tc>
          <w:tcPr>
            <w:tcW w:type="dxa" w:w="2078"/>
          </w:tcPr>
          <w:p>
            <w:pPr>
              <w:spacing w:after="40"/>
            </w:pPr>
            <w:r>
              <w:rPr>
                <w:sz w:val="18"/>
              </w:rPr>
            </w:r>
            <w:r>
              <w:rPr>
                <w:b w:val="0"/>
                <w:i w:val="0"/>
                <w:sz w:val="18"/>
              </w:rPr>
              <w:t>THE ONLY commercially available ophthalmic antifungal. Everything else is compounded or systemic. Risk factors for ocular fungal infection: trauma, chronic ocular surface disease, contact lens wear, immunosuppression INCLUDING topical steroid use.</w:t>
            </w:r>
          </w:p>
        </w:tc>
        <w:tc>
          <w:tcPr>
            <w:tcW w:type="dxa" w:w="2078"/>
          </w:tcPr>
          <w:p>
            <w:pPr>
              <w:spacing w:after="40"/>
            </w:pPr>
            <w:r>
              <w:rPr>
                <w:sz w:val="18"/>
              </w:rPr>
            </w:r>
            <w:r>
              <w:rPr>
                <w:b w:val="0"/>
                <w:i w:val="0"/>
                <w:sz w:val="18"/>
              </w:rPr>
              <w:t>Ocular irritation</w:t>
            </w:r>
          </w:p>
        </w:tc>
        <w:tc>
          <w:tcPr>
            <w:tcW w:type="dxa" w:w="2078"/>
          </w:tcPr>
          <w:p>
            <w:pPr>
              <w:spacing w:after="40"/>
            </w:pPr>
            <w:r>
              <w:rPr>
                <w:sz w:val="18"/>
              </w:rPr>
            </w:r>
            <w:r>
              <w:rPr>
                <w:b w:val="0"/>
                <w:i w:val="0"/>
                <w:sz w:val="18"/>
              </w:rPr>
              <w:t>None specific</w:t>
            </w:r>
          </w:p>
        </w:tc>
        <w:tc>
          <w:tcPr>
            <w:tcW w:type="dxa" w:w="2078"/>
          </w:tcPr>
          <w:p>
            <w:pPr>
              <w:spacing w:after="40"/>
            </w:pPr>
            <w:r>
              <w:rPr>
                <w:sz w:val="18"/>
              </w:rPr>
            </w:r>
            <w:r>
              <w:rPr>
                <w:b w:val="0"/>
                <w:i w:val="0"/>
                <w:sz w:val="18"/>
              </w:rPr>
              <w:t>Binds sterol, increasing fungal cell membrane permeability</w:t>
            </w:r>
          </w:p>
        </w:tc>
        <w:tc>
          <w:tcPr>
            <w:tcW w:type="dxa" w:w="2078"/>
          </w:tcPr>
          <w:p>
            <w:pPr>
              <w:spacing w:after="40"/>
            </w:pPr>
            <w:r>
              <w:rPr>
                <w:sz w:val="18"/>
              </w:rPr>
            </w:r>
            <w:r>
              <w:rPr>
                <w:b w:val="0"/>
                <w:i w:val="0"/>
                <w:sz w:val="18"/>
              </w:rPr>
              <w:t>slide 32</w:t>
            </w:r>
          </w:p>
        </w:tc>
      </w:tr>
    </w:tbl>
    <w:p>
      <w:pPr>
        <w:spacing w:after="80"/>
      </w:pPr>
    </w:p>
    <w:p>
      <w:pPr>
        <w:pStyle w:val="Heading1"/>
        <w:spacing w:before="280" w:after="100"/>
      </w:pPr>
      <w:r>
        <w:rPr>
          <w:rFonts w:ascii="Georgia" w:hAnsi="Georgia"/>
          <w:color w:val="6B3524"/>
        </w:rPr>
        <w:t>Allergy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078"/>
        <w:gridCol w:w="2078"/>
        <w:gridCol w:w="2078"/>
        <w:gridCol w:w="2078"/>
        <w:gridCol w:w="2078"/>
        <w:gridCol w:w="2078"/>
        <w:gridCol w:w="2078"/>
      </w:tblGrid>
      <w:tr>
        <w:tc>
          <w:tcPr>
            <w:tcW w:type="dxa" w:w="2078"/>
            <w:shd w:val="clear" w:color="auto" w:fill="6B3524"/>
          </w:tcPr>
          <w:p>
            <w:pPr>
              <w:spacing w:after="40"/>
            </w:pPr>
            <w:r>
              <w:rPr>
                <w:b/>
                <w:color w:val="FFFFFF"/>
                <w:sz w:val="18"/>
              </w:rPr>
            </w:r>
            <w:r>
              <w:rPr>
                <w:b/>
                <w:i w:val="0"/>
                <w:color w:val="FFFFFF"/>
                <w:sz w:val="18"/>
              </w:rPr>
              <w:t>Agent</w:t>
            </w:r>
          </w:p>
        </w:tc>
        <w:tc>
          <w:tcPr>
            <w:tcW w:type="dxa" w:w="2078"/>
            <w:shd w:val="clear" w:color="auto" w:fill="6B3524"/>
          </w:tcPr>
          <w:p>
            <w:pPr>
              <w:spacing w:after="40"/>
            </w:pPr>
            <w:r>
              <w:rPr>
                <w:b/>
                <w:color w:val="FFFFFF"/>
                <w:sz w:val="18"/>
              </w:rPr>
            </w:r>
            <w:r>
              <w:rPr>
                <w:b/>
                <w:i w:val="0"/>
                <w:color w:val="FFFFFF"/>
                <w:sz w:val="18"/>
              </w:rPr>
              <w:t>Indication</w:t>
            </w:r>
          </w:p>
        </w:tc>
        <w:tc>
          <w:tcPr>
            <w:tcW w:type="dxa" w:w="2078"/>
            <w:shd w:val="clear" w:color="auto" w:fill="6B3524"/>
          </w:tcPr>
          <w:p>
            <w:pPr>
              <w:spacing w:after="40"/>
            </w:pPr>
            <w:r>
              <w:rPr>
                <w:b/>
                <w:color w:val="FFFFFF"/>
                <w:sz w:val="18"/>
              </w:rPr>
            </w:r>
            <w:r>
              <w:rPr>
                <w:b/>
                <w:i w:val="0"/>
                <w:color w:val="FFFFFF"/>
                <w:sz w:val="18"/>
              </w:rPr>
              <w:t>Patient education</w:t>
            </w:r>
          </w:p>
        </w:tc>
        <w:tc>
          <w:tcPr>
            <w:tcW w:type="dxa" w:w="2078"/>
            <w:shd w:val="clear" w:color="auto" w:fill="6B3524"/>
          </w:tcPr>
          <w:p>
            <w:pPr>
              <w:spacing w:after="40"/>
            </w:pPr>
            <w:r>
              <w:rPr>
                <w:b/>
                <w:color w:val="FFFFFF"/>
                <w:sz w:val="18"/>
              </w:rPr>
            </w:r>
            <w:r>
              <w:rPr>
                <w:b/>
                <w:i w:val="0"/>
                <w:color w:val="FFFFFF"/>
                <w:sz w:val="18"/>
              </w:rPr>
              <w:t>Side effects</w:t>
            </w:r>
          </w:p>
        </w:tc>
        <w:tc>
          <w:tcPr>
            <w:tcW w:type="dxa" w:w="2078"/>
            <w:shd w:val="clear" w:color="auto" w:fill="6B3524"/>
          </w:tcPr>
          <w:p>
            <w:pPr>
              <w:spacing w:after="40"/>
            </w:pPr>
            <w:r>
              <w:rPr>
                <w:b/>
                <w:color w:val="FFFFFF"/>
                <w:sz w:val="18"/>
              </w:rPr>
            </w:r>
            <w:r>
              <w:rPr>
                <w:b/>
                <w:i w:val="0"/>
                <w:color w:val="FFFFFF"/>
                <w:sz w:val="18"/>
              </w:rPr>
              <w:t>Contraindications &amp; cautions</w:t>
            </w:r>
          </w:p>
        </w:tc>
        <w:tc>
          <w:tcPr>
            <w:tcW w:type="dxa" w:w="2078"/>
            <w:shd w:val="clear" w:color="auto" w:fill="6B3524"/>
          </w:tcPr>
          <w:p>
            <w:pPr>
              <w:spacing w:after="40"/>
            </w:pPr>
            <w:r>
              <w:rPr>
                <w:b/>
                <w:color w:val="FFFFFF"/>
                <w:sz w:val="18"/>
              </w:rPr>
            </w:r>
            <w:r>
              <w:rPr>
                <w:b/>
                <w:i w:val="0"/>
                <w:color w:val="FFFFFF"/>
                <w:sz w:val="18"/>
              </w:rPr>
              <w:t>Mechanism</w:t>
            </w:r>
          </w:p>
        </w:tc>
        <w:tc>
          <w:tcPr>
            <w:tcW w:type="dxa" w:w="2078"/>
            <w:shd w:val="clear" w:color="auto" w:fill="6B3524"/>
          </w:tcPr>
          <w:p>
            <w:pPr>
              <w:spacing w:after="40"/>
            </w:pPr>
            <w:r>
              <w:rPr>
                <w:b/>
                <w:color w:val="FFFFFF"/>
                <w:sz w:val="18"/>
              </w:rPr>
            </w:r>
            <w:r>
              <w:rPr>
                <w:b/>
                <w:i w:val="0"/>
                <w:color w:val="FFFFFF"/>
                <w:sz w:val="18"/>
              </w:rPr>
              <w:t>Slide</w:t>
            </w:r>
          </w:p>
        </w:tc>
      </w:tr>
      <w:tr>
        <w:tc>
          <w:tcPr>
            <w:tcW w:type="dxa" w:w="2078"/>
          </w:tcPr>
          <w:p>
            <w:pPr>
              <w:spacing w:after="40"/>
            </w:pPr>
            <w:r>
              <w:rPr>
                <w:sz w:val="18"/>
              </w:rPr>
            </w:r>
            <w:r>
              <w:rPr>
                <w:b w:val="0"/>
                <w:i w:val="0"/>
                <w:sz w:val="18"/>
              </w:rPr>
              <w:t>Ketotifen (Zaditor, OTC), olopatadine, azelastine, alcaftadine, bepotastine, emedastine, epinastine</w:t>
            </w:r>
          </w:p>
        </w:tc>
        <w:tc>
          <w:tcPr>
            <w:tcW w:type="dxa" w:w="2078"/>
          </w:tcPr>
          <w:p>
            <w:pPr>
              <w:spacing w:after="40"/>
            </w:pPr>
            <w:r>
              <w:rPr>
                <w:sz w:val="18"/>
              </w:rPr>
            </w:r>
            <w:r>
              <w:rPr>
                <w:b w:val="0"/>
                <w:i w:val="0"/>
                <w:sz w:val="18"/>
              </w:rPr>
              <w:t>Ocular allergy</w:t>
            </w:r>
          </w:p>
        </w:tc>
        <w:tc>
          <w:tcPr>
            <w:tcW w:type="dxa" w:w="2078"/>
          </w:tcPr>
          <w:p>
            <w:pPr>
              <w:spacing w:after="40"/>
            </w:pPr>
            <w:r>
              <w:rPr>
                <w:sz w:val="18"/>
              </w:rPr>
            </w:r>
            <w:r>
              <w:rPr>
                <w:b w:val="0"/>
                <w:i w:val="0"/>
                <w:sz w:val="18"/>
              </w:rPr>
              <w:t>Onset within MINUTES; allow two weeks to judge full efficacy. Typically PREFERRED over mast cell stabilizers.</w:t>
            </w:r>
          </w:p>
        </w:tc>
        <w:tc>
          <w:tcPr>
            <w:tcW w:type="dxa" w:w="2078"/>
          </w:tcPr>
          <w:p>
            <w:pPr>
              <w:spacing w:after="40"/>
            </w:pPr>
            <w:r>
              <w:rPr>
                <w:sz w:val="18"/>
              </w:rPr>
            </w:r>
            <w:r>
              <w:rPr>
                <w:b w:val="0"/>
                <w:i w:val="0"/>
                <w:sz w:val="18"/>
              </w:rPr>
              <w:t>Ocular irritation, headache, INCREASED ocular dryness</w:t>
            </w:r>
          </w:p>
        </w:tc>
        <w:tc>
          <w:tcPr>
            <w:tcW w:type="dxa" w:w="2078"/>
          </w:tcPr>
          <w:p>
            <w:pPr>
              <w:spacing w:after="40"/>
            </w:pPr>
            <w:r>
              <w:rPr>
                <w:sz w:val="18"/>
              </w:rPr>
            </w:r>
            <w:r>
              <w:rPr>
                <w:b w:val="0"/>
                <w:i w:val="0"/>
                <w:sz w:val="18"/>
              </w:rPr>
              <w:t>No significant interactions</w:t>
            </w:r>
          </w:p>
        </w:tc>
        <w:tc>
          <w:tcPr>
            <w:tcW w:type="dxa" w:w="2078"/>
          </w:tcPr>
          <w:p>
            <w:pPr>
              <w:spacing w:after="40"/>
            </w:pPr>
            <w:r>
              <w:rPr>
                <w:sz w:val="18"/>
              </w:rPr>
            </w:r>
            <w:r>
              <w:rPr>
                <w:b w:val="0"/>
                <w:i w:val="0"/>
                <w:sz w:val="18"/>
              </w:rPr>
              <w:t>H1 INVERSE AGONISTS — they inactivate the receptor rather than simply blocking it, and remain competitive with histamine</w:t>
            </w:r>
          </w:p>
        </w:tc>
        <w:tc>
          <w:tcPr>
            <w:tcW w:type="dxa" w:w="2078"/>
          </w:tcPr>
          <w:p>
            <w:pPr>
              <w:spacing w:after="40"/>
            </w:pPr>
            <w:r>
              <w:rPr>
                <w:sz w:val="18"/>
              </w:rPr>
            </w:r>
            <w:r>
              <w:rPr>
                <w:b w:val="0"/>
                <w:i w:val="0"/>
                <w:sz w:val="18"/>
              </w:rPr>
              <w:t>slide 42</w:t>
            </w:r>
          </w:p>
        </w:tc>
      </w:tr>
      <w:tr>
        <w:tc>
          <w:tcPr>
            <w:tcW w:type="dxa" w:w="2078"/>
          </w:tcPr>
          <w:p>
            <w:pPr>
              <w:spacing w:after="40"/>
            </w:pPr>
            <w:r>
              <w:rPr>
                <w:sz w:val="18"/>
              </w:rPr>
            </w:r>
            <w:r>
              <w:rPr>
                <w:b w:val="0"/>
                <w:i w:val="0"/>
                <w:sz w:val="18"/>
              </w:rPr>
              <w:t>Cromolyn (Opticrom), lodoxamide (Alomide), nedocromil (Alocril)</w:t>
            </w:r>
          </w:p>
        </w:tc>
        <w:tc>
          <w:tcPr>
            <w:tcW w:type="dxa" w:w="2078"/>
          </w:tcPr>
          <w:p>
            <w:pPr>
              <w:spacing w:after="40"/>
            </w:pPr>
            <w:r>
              <w:rPr>
                <w:sz w:val="18"/>
              </w:rPr>
            </w:r>
            <w:r>
              <w:rPr>
                <w:b w:val="0"/>
                <w:i w:val="0"/>
                <w:sz w:val="18"/>
              </w:rPr>
              <w:t>Predictable seasonal allergy in patients who cannot tolerate other therapy</w:t>
            </w:r>
          </w:p>
        </w:tc>
        <w:tc>
          <w:tcPr>
            <w:tcW w:type="dxa" w:w="2078"/>
          </w:tcPr>
          <w:p>
            <w:pPr>
              <w:spacing w:after="40"/>
            </w:pPr>
            <w:r>
              <w:rPr>
                <w:sz w:val="18"/>
              </w:rPr>
            </w:r>
            <w:r>
              <w:rPr>
                <w:b w:val="0"/>
                <w:i w:val="0"/>
                <w:sz w:val="18"/>
              </w:rPr>
              <w:t>5 to 14 days for full efficacy and NOT useful for acute symptoms. Often four times daily, which is not ideal.</w:t>
            </w:r>
          </w:p>
        </w:tc>
        <w:tc>
          <w:tcPr>
            <w:tcW w:type="dxa" w:w="2078"/>
          </w:tcPr>
          <w:p>
            <w:pPr>
              <w:spacing w:after="40"/>
            </w:pPr>
            <w:r>
              <w:rPr>
                <w:sz w:val="18"/>
              </w:rPr>
            </w:r>
            <w:r>
              <w:rPr>
                <w:b w:val="0"/>
                <w:i w:val="0"/>
                <w:sz w:val="18"/>
              </w:rPr>
              <w:t>Ocular irritation, unpleasant taste, headache</w:t>
            </w:r>
          </w:p>
        </w:tc>
        <w:tc>
          <w:tcPr>
            <w:tcW w:type="dxa" w:w="2078"/>
          </w:tcPr>
          <w:p>
            <w:pPr>
              <w:spacing w:after="40"/>
            </w:pPr>
            <w:r>
              <w:rPr>
                <w:sz w:val="18"/>
              </w:rPr>
            </w:r>
            <w:r>
              <w:rPr>
                <w:b w:val="0"/>
                <w:i w:val="0"/>
                <w:sz w:val="18"/>
              </w:rPr>
              <w:t>None specific</w:t>
            </w:r>
          </w:p>
        </w:tc>
        <w:tc>
          <w:tcPr>
            <w:tcW w:type="dxa" w:w="2078"/>
          </w:tcPr>
          <w:p>
            <w:pPr>
              <w:spacing w:after="40"/>
            </w:pPr>
            <w:r>
              <w:rPr>
                <w:sz w:val="18"/>
              </w:rPr>
            </w:r>
            <w:r>
              <w:rPr>
                <w:b w:val="0"/>
                <w:i w:val="0"/>
                <w:sz w:val="18"/>
              </w:rPr>
              <w:t>Inhibit mast cell degranulation, limiting histamine, tryptase and prostaglandin D2</w:t>
            </w:r>
          </w:p>
        </w:tc>
        <w:tc>
          <w:tcPr>
            <w:tcW w:type="dxa" w:w="2078"/>
          </w:tcPr>
          <w:p>
            <w:pPr>
              <w:spacing w:after="40"/>
            </w:pPr>
            <w:r>
              <w:rPr>
                <w:sz w:val="18"/>
              </w:rPr>
            </w:r>
            <w:r>
              <w:rPr>
                <w:b w:val="0"/>
                <w:i w:val="0"/>
                <w:sz w:val="18"/>
              </w:rPr>
              <w:t>slide 45</w:t>
            </w:r>
          </w:p>
        </w:tc>
      </w:tr>
      <w:tr>
        <w:tc>
          <w:tcPr>
            <w:tcW w:type="dxa" w:w="2078"/>
          </w:tcPr>
          <w:p>
            <w:pPr>
              <w:spacing w:after="40"/>
            </w:pPr>
            <w:r>
              <w:rPr>
                <w:sz w:val="18"/>
              </w:rPr>
            </w:r>
            <w:r>
              <w:rPr>
                <w:b w:val="0"/>
                <w:i w:val="0"/>
                <w:sz w:val="18"/>
              </w:rPr>
              <w:t>Tetrahydrozoline (Opti-Clear), naphazoline (VasoClear), naphazoline with pheniramine (Visine-A)</w:t>
            </w:r>
          </w:p>
        </w:tc>
        <w:tc>
          <w:tcPr>
            <w:tcW w:type="dxa" w:w="2078"/>
          </w:tcPr>
          <w:p>
            <w:pPr>
              <w:spacing w:after="40"/>
            </w:pPr>
            <w:r>
              <w:rPr>
                <w:sz w:val="18"/>
              </w:rPr>
            </w:r>
            <w:r>
              <w:rPr>
                <w:b w:val="0"/>
                <w:i w:val="0"/>
                <w:sz w:val="18"/>
              </w:rPr>
              <w:t>Short-term relief of conjunctival redness and edema</w:t>
            </w:r>
          </w:p>
        </w:tc>
        <w:tc>
          <w:tcPr>
            <w:tcW w:type="dxa" w:w="2078"/>
          </w:tcPr>
          <w:p>
            <w:pPr>
              <w:spacing w:after="40"/>
            </w:pPr>
            <w:r>
              <w:rPr>
                <w:sz w:val="18"/>
              </w:rPr>
            </w:r>
            <w:r>
              <w:rPr>
                <w:b w:val="0"/>
                <w:i w:val="0"/>
                <w:sz w:val="18"/>
              </w:rPr>
              <w:t>★ NO MORE THAN TWO WEEKS — prolonged use causes REBOUND HYPEREMIA on stopping. If no improvement within 72 HOURS, stop and see a provider. The same trap appears with nasal sprays.</w:t>
            </w:r>
          </w:p>
        </w:tc>
        <w:tc>
          <w:tcPr>
            <w:tcW w:type="dxa" w:w="2078"/>
          </w:tcPr>
          <w:p>
            <w:pPr>
              <w:spacing w:after="40"/>
            </w:pPr>
            <w:r>
              <w:rPr>
                <w:sz w:val="18"/>
              </w:rPr>
            </w:r>
            <w:r>
              <w:rPr>
                <w:b w:val="0"/>
                <w:i w:val="0"/>
                <w:sz w:val="18"/>
              </w:rPr>
              <w:t>REBOUND HYPEREMIA after discontinuation</w:t>
            </w:r>
          </w:p>
        </w:tc>
        <w:tc>
          <w:tcPr>
            <w:tcW w:type="dxa" w:w="2078"/>
          </w:tcPr>
          <w:p>
            <w:pPr>
              <w:spacing w:after="40"/>
            </w:pPr>
            <w:r>
              <w:rPr>
                <w:sz w:val="18"/>
              </w:rPr>
            </w:r>
            <w:r>
              <w:rPr>
                <w:b w:val="0"/>
                <w:i w:val="0"/>
                <w:sz w:val="18"/>
              </w:rPr>
              <w:t>Prolonged use; accidental ingestion in children</w:t>
            </w:r>
          </w:p>
        </w:tc>
        <w:tc>
          <w:tcPr>
            <w:tcW w:type="dxa" w:w="2078"/>
          </w:tcPr>
          <w:p>
            <w:pPr>
              <w:spacing w:after="40"/>
            </w:pPr>
            <w:r>
              <w:rPr>
                <w:sz w:val="18"/>
              </w:rPr>
            </w:r>
            <w:r>
              <w:rPr>
                <w:b w:val="0"/>
                <w:i w:val="0"/>
                <w:sz w:val="18"/>
              </w:rPr>
              <w:t>Alpha-1 agonist LOCALLY; these imidazolines target alpha-2 SYSTEMICALLY, which is what makes an ingestion dangerous</w:t>
            </w:r>
          </w:p>
        </w:tc>
        <w:tc>
          <w:tcPr>
            <w:tcW w:type="dxa" w:w="2078"/>
          </w:tcPr>
          <w:p>
            <w:pPr>
              <w:spacing w:after="40"/>
            </w:pPr>
            <w:r>
              <w:rPr>
                <w:sz w:val="18"/>
              </w:rPr>
            </w:r>
            <w:r>
              <w:rPr>
                <w:b w:val="0"/>
                <w:i w:val="0"/>
                <w:sz w:val="18"/>
              </w:rPr>
              <w:t>slide 48</w:t>
            </w:r>
          </w:p>
        </w:tc>
      </w:tr>
    </w:tbl>
    <w:p>
      <w:pPr>
        <w:spacing w:after="80"/>
      </w:pPr>
    </w:p>
    <w:p>
      <w:pPr>
        <w:pStyle w:val="Heading1"/>
        <w:spacing w:before="280" w:after="100"/>
      </w:pPr>
      <w:r>
        <w:rPr>
          <w:rFonts w:ascii="Georgia" w:hAnsi="Georgia"/>
          <w:color w:val="6B3524"/>
        </w:rPr>
        <w:t>Inflammation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078"/>
        <w:gridCol w:w="2078"/>
        <w:gridCol w:w="2078"/>
        <w:gridCol w:w="2078"/>
        <w:gridCol w:w="2078"/>
        <w:gridCol w:w="2078"/>
        <w:gridCol w:w="2078"/>
      </w:tblGrid>
      <w:tr>
        <w:tc>
          <w:tcPr>
            <w:tcW w:type="dxa" w:w="2078"/>
            <w:shd w:val="clear" w:color="auto" w:fill="6B3524"/>
          </w:tcPr>
          <w:p>
            <w:pPr>
              <w:spacing w:after="40"/>
            </w:pPr>
            <w:r>
              <w:rPr>
                <w:b/>
                <w:color w:val="FFFFFF"/>
                <w:sz w:val="18"/>
              </w:rPr>
            </w:r>
            <w:r>
              <w:rPr>
                <w:b/>
                <w:i w:val="0"/>
                <w:color w:val="FFFFFF"/>
                <w:sz w:val="18"/>
              </w:rPr>
              <w:t>Agent</w:t>
            </w:r>
          </w:p>
        </w:tc>
        <w:tc>
          <w:tcPr>
            <w:tcW w:type="dxa" w:w="2078"/>
            <w:shd w:val="clear" w:color="auto" w:fill="6B3524"/>
          </w:tcPr>
          <w:p>
            <w:pPr>
              <w:spacing w:after="40"/>
            </w:pPr>
            <w:r>
              <w:rPr>
                <w:b/>
                <w:color w:val="FFFFFF"/>
                <w:sz w:val="18"/>
              </w:rPr>
            </w:r>
            <w:r>
              <w:rPr>
                <w:b/>
                <w:i w:val="0"/>
                <w:color w:val="FFFFFF"/>
                <w:sz w:val="18"/>
              </w:rPr>
              <w:t>Indication</w:t>
            </w:r>
          </w:p>
        </w:tc>
        <w:tc>
          <w:tcPr>
            <w:tcW w:type="dxa" w:w="2078"/>
            <w:shd w:val="clear" w:color="auto" w:fill="6B3524"/>
          </w:tcPr>
          <w:p>
            <w:pPr>
              <w:spacing w:after="40"/>
            </w:pPr>
            <w:r>
              <w:rPr>
                <w:b/>
                <w:color w:val="FFFFFF"/>
                <w:sz w:val="18"/>
              </w:rPr>
            </w:r>
            <w:r>
              <w:rPr>
                <w:b/>
                <w:i w:val="0"/>
                <w:color w:val="FFFFFF"/>
                <w:sz w:val="18"/>
              </w:rPr>
              <w:t>Patient education</w:t>
            </w:r>
          </w:p>
        </w:tc>
        <w:tc>
          <w:tcPr>
            <w:tcW w:type="dxa" w:w="2078"/>
            <w:shd w:val="clear" w:color="auto" w:fill="6B3524"/>
          </w:tcPr>
          <w:p>
            <w:pPr>
              <w:spacing w:after="40"/>
            </w:pPr>
            <w:r>
              <w:rPr>
                <w:b/>
                <w:color w:val="FFFFFF"/>
                <w:sz w:val="18"/>
              </w:rPr>
            </w:r>
            <w:r>
              <w:rPr>
                <w:b/>
                <w:i w:val="0"/>
                <w:color w:val="FFFFFF"/>
                <w:sz w:val="18"/>
              </w:rPr>
              <w:t>Side effects</w:t>
            </w:r>
          </w:p>
        </w:tc>
        <w:tc>
          <w:tcPr>
            <w:tcW w:type="dxa" w:w="2078"/>
            <w:shd w:val="clear" w:color="auto" w:fill="6B3524"/>
          </w:tcPr>
          <w:p>
            <w:pPr>
              <w:spacing w:after="40"/>
            </w:pPr>
            <w:r>
              <w:rPr>
                <w:b/>
                <w:color w:val="FFFFFF"/>
                <w:sz w:val="18"/>
              </w:rPr>
            </w:r>
            <w:r>
              <w:rPr>
                <w:b/>
                <w:i w:val="0"/>
                <w:color w:val="FFFFFF"/>
                <w:sz w:val="18"/>
              </w:rPr>
              <w:t>Contraindications &amp; cautions</w:t>
            </w:r>
          </w:p>
        </w:tc>
        <w:tc>
          <w:tcPr>
            <w:tcW w:type="dxa" w:w="2078"/>
            <w:shd w:val="clear" w:color="auto" w:fill="6B3524"/>
          </w:tcPr>
          <w:p>
            <w:pPr>
              <w:spacing w:after="40"/>
            </w:pPr>
            <w:r>
              <w:rPr>
                <w:b/>
                <w:color w:val="FFFFFF"/>
                <w:sz w:val="18"/>
              </w:rPr>
            </w:r>
            <w:r>
              <w:rPr>
                <w:b/>
                <w:i w:val="0"/>
                <w:color w:val="FFFFFF"/>
                <w:sz w:val="18"/>
              </w:rPr>
              <w:t>Mechanism</w:t>
            </w:r>
          </w:p>
        </w:tc>
        <w:tc>
          <w:tcPr>
            <w:tcW w:type="dxa" w:w="2078"/>
            <w:shd w:val="clear" w:color="auto" w:fill="6B3524"/>
          </w:tcPr>
          <w:p>
            <w:pPr>
              <w:spacing w:after="40"/>
            </w:pPr>
            <w:r>
              <w:rPr>
                <w:b/>
                <w:color w:val="FFFFFF"/>
                <w:sz w:val="18"/>
              </w:rPr>
            </w:r>
            <w:r>
              <w:rPr>
                <w:b/>
                <w:i w:val="0"/>
                <w:color w:val="FFFFFF"/>
                <w:sz w:val="18"/>
              </w:rPr>
              <w:t>Slide</w:t>
            </w:r>
          </w:p>
        </w:tc>
      </w:tr>
      <w:tr>
        <w:tc>
          <w:tcPr>
            <w:tcW w:type="dxa" w:w="2078"/>
          </w:tcPr>
          <w:p>
            <w:pPr>
              <w:spacing w:after="40"/>
            </w:pPr>
            <w:r>
              <w:rPr>
                <w:sz w:val="18"/>
              </w:rPr>
            </w:r>
            <w:r>
              <w:rPr>
                <w:b w:val="0"/>
                <w:i w:val="0"/>
                <w:sz w:val="18"/>
              </w:rPr>
              <w:t>Bromfenac, diclofenac, flurbiprofen, ketorolac, nepafenac</w:t>
            </w:r>
          </w:p>
        </w:tc>
        <w:tc>
          <w:tcPr>
            <w:tcW w:type="dxa" w:w="2078"/>
          </w:tcPr>
          <w:p>
            <w:pPr>
              <w:spacing w:after="40"/>
            </w:pPr>
            <w:r>
              <w:rPr>
                <w:sz w:val="18"/>
              </w:rPr>
            </w:r>
            <w:r>
              <w:rPr>
                <w:b w:val="0"/>
                <w:i w:val="0"/>
                <w:sz w:val="18"/>
              </w:rPr>
              <w:t>Postoperative inflammation and pain; allergic conjunctivitis</w:t>
            </w:r>
          </w:p>
        </w:tc>
        <w:tc>
          <w:tcPr>
            <w:tcW w:type="dxa" w:w="2078"/>
          </w:tcPr>
          <w:p>
            <w:pPr>
              <w:spacing w:after="40"/>
            </w:pPr>
            <w:r>
              <w:rPr>
                <w:sz w:val="18"/>
              </w:rPr>
            </w:r>
            <w:r>
              <w:rPr>
                <w:b w:val="0"/>
                <w:i w:val="0"/>
                <w:sz w:val="18"/>
              </w:rPr>
              <w:t>NOT routinely recommended for conjunctivitis.</w:t>
            </w:r>
          </w:p>
        </w:tc>
        <w:tc>
          <w:tcPr>
            <w:tcW w:type="dxa" w:w="2078"/>
          </w:tcPr>
          <w:p>
            <w:pPr>
              <w:spacing w:after="40"/>
            </w:pPr>
            <w:r>
              <w:rPr>
                <w:sz w:val="18"/>
              </w:rPr>
            </w:r>
            <w:r>
              <w:rPr>
                <w:b w:val="0"/>
                <w:i w:val="0"/>
                <w:sz w:val="18"/>
              </w:rPr>
              <w:t>Lacrimation, keratitis, RAISED intraocular pressure, ocular irritation</w:t>
            </w:r>
          </w:p>
        </w:tc>
        <w:tc>
          <w:tcPr>
            <w:tcW w:type="dxa" w:w="2078"/>
          </w:tcPr>
          <w:p>
            <w:pPr>
              <w:spacing w:after="40"/>
            </w:pPr>
            <w:r>
              <w:rPr>
                <w:sz w:val="18"/>
              </w:rPr>
            </w:r>
            <w:r>
              <w:rPr>
                <w:b w:val="0"/>
                <w:i w:val="0"/>
                <w:sz w:val="18"/>
              </w:rPr>
              <w:t>Caution where pressure matters</w:t>
            </w:r>
          </w:p>
        </w:tc>
        <w:tc>
          <w:tcPr>
            <w:tcW w:type="dxa" w:w="2078"/>
          </w:tcPr>
          <w:p>
            <w:pPr>
              <w:spacing w:after="40"/>
            </w:pPr>
            <w:r>
              <w:rPr>
                <w:sz w:val="18"/>
              </w:rPr>
            </w:r>
            <w:r>
              <w:rPr>
                <w:b w:val="0"/>
                <w:i w:val="0"/>
                <w:sz w:val="18"/>
              </w:rPr>
              <w:t>Block cyclooxygenase, stopping conversion of arachidonic acid to prostaglandins and thromboxanes</w:t>
            </w:r>
          </w:p>
        </w:tc>
        <w:tc>
          <w:tcPr>
            <w:tcW w:type="dxa" w:w="2078"/>
          </w:tcPr>
          <w:p>
            <w:pPr>
              <w:spacing w:after="40"/>
            </w:pPr>
            <w:r>
              <w:rPr>
                <w:sz w:val="18"/>
              </w:rPr>
            </w:r>
            <w:r>
              <w:rPr>
                <w:b w:val="0"/>
                <w:i w:val="0"/>
                <w:sz w:val="18"/>
              </w:rPr>
              <w:t>slide 51</w:t>
            </w:r>
          </w:p>
        </w:tc>
      </w:tr>
      <w:tr>
        <w:tc>
          <w:tcPr>
            <w:tcW w:type="dxa" w:w="2078"/>
          </w:tcPr>
          <w:p>
            <w:pPr>
              <w:spacing w:after="40"/>
            </w:pPr>
            <w:r>
              <w:rPr>
                <w:sz w:val="18"/>
              </w:rPr>
            </w:r>
            <w:r>
              <w:rPr>
                <w:b w:val="0"/>
                <w:i w:val="0"/>
                <w:sz w:val="18"/>
              </w:rPr>
              <w:t>Dexamethasone, prednisolone (Pred Forte), difluprednate</w:t>
            </w:r>
          </w:p>
        </w:tc>
        <w:tc>
          <w:tcPr>
            <w:tcW w:type="dxa" w:w="2078"/>
          </w:tcPr>
          <w:p>
            <w:pPr>
              <w:spacing w:after="40"/>
            </w:pPr>
            <w:r>
              <w:rPr>
                <w:sz w:val="18"/>
              </w:rPr>
            </w:r>
            <w:r>
              <w:rPr>
                <w:b w:val="0"/>
                <w:i w:val="0"/>
                <w:sz w:val="18"/>
              </w:rPr>
              <w:t>Severe ocular allergy, anterior uveitis, external eye inflammatory disease, inflammation after ocular surgery</w:t>
            </w:r>
          </w:p>
        </w:tc>
        <w:tc>
          <w:tcPr>
            <w:tcW w:type="dxa" w:w="2078"/>
          </w:tcPr>
          <w:p>
            <w:pPr>
              <w:spacing w:after="40"/>
            </w:pPr>
            <w:r>
              <w:rPr>
                <w:sz w:val="18"/>
              </w:rPr>
            </w:r>
            <w:r>
              <w:rPr>
                <w:b w:val="0"/>
                <w:i w:val="0"/>
                <w:sz w:val="18"/>
              </w:rPr>
              <w:t>Limited to a pulse of LESS THAN TWO WEEKS. Generally reserved for refractory symptoms.</w:t>
            </w:r>
          </w:p>
        </w:tc>
        <w:tc>
          <w:tcPr>
            <w:tcW w:type="dxa" w:w="2078"/>
          </w:tcPr>
          <w:p>
            <w:pPr>
              <w:spacing w:after="40"/>
            </w:pPr>
            <w:r>
              <w:rPr>
                <w:sz w:val="18"/>
              </w:rPr>
            </w:r>
            <w:r>
              <w:rPr>
                <w:b w:val="0"/>
                <w:i w:val="0"/>
                <w:sz w:val="18"/>
              </w:rPr>
              <w:t>CATARACT formation, raised pressure and glaucoma, infection from reduced immune function, delayed wound healing, corneal ulcers</w:t>
            </w:r>
          </w:p>
        </w:tc>
        <w:tc>
          <w:tcPr>
            <w:tcW w:type="dxa" w:w="2078"/>
          </w:tcPr>
          <w:p>
            <w:pPr>
              <w:spacing w:after="40"/>
            </w:pPr>
            <w:r>
              <w:rPr>
                <w:sz w:val="18"/>
              </w:rPr>
            </w:r>
            <w:r>
              <w:rPr>
                <w:b w:val="0"/>
                <w:i w:val="0"/>
                <w:sz w:val="18"/>
              </w:rPr>
              <w:t>Raised pressure is MORE LIKELY WITH A FAMILY HISTORY</w:t>
            </w:r>
          </w:p>
        </w:tc>
        <w:tc>
          <w:tcPr>
            <w:tcW w:type="dxa" w:w="2078"/>
          </w:tcPr>
          <w:p>
            <w:pPr>
              <w:spacing w:after="40"/>
            </w:pPr>
            <w:r>
              <w:rPr>
                <w:sz w:val="18"/>
              </w:rPr>
            </w:r>
            <w:r>
              <w:rPr>
                <w:b w:val="0"/>
                <w:i w:val="0"/>
                <w:sz w:val="18"/>
              </w:rPr>
              <w:t>Inhibit phospholipase A2, cutting off arachidonic acid derived mediators; also inhibit fibrin and collagen deposition, reducing scarring</w:t>
            </w:r>
          </w:p>
        </w:tc>
        <w:tc>
          <w:tcPr>
            <w:tcW w:type="dxa" w:w="2078"/>
          </w:tcPr>
          <w:p>
            <w:pPr>
              <w:spacing w:after="40"/>
            </w:pPr>
            <w:r>
              <w:rPr>
                <w:sz w:val="18"/>
              </w:rPr>
            </w:r>
            <w:r>
              <w:rPr>
                <w:b w:val="0"/>
                <w:i w:val="0"/>
                <w:sz w:val="18"/>
              </w:rPr>
              <w:t>slide 52</w:t>
            </w:r>
          </w:p>
        </w:tc>
      </w:tr>
      <w:tr>
        <w:tc>
          <w:tcPr>
            <w:tcW w:type="dxa" w:w="2078"/>
          </w:tcPr>
          <w:p>
            <w:pPr>
              <w:spacing w:after="40"/>
            </w:pPr>
            <w:r>
              <w:rPr>
                <w:sz w:val="18"/>
              </w:rPr>
            </w:r>
            <w:r>
              <w:rPr>
                <w:b w:val="0"/>
                <w:i w:val="0"/>
                <w:sz w:val="18"/>
              </w:rPr>
              <w:t>Fluorometholone (FML), loteprednol (Alrex), rimexolone (Vexol)</w:t>
            </w:r>
          </w:p>
        </w:tc>
        <w:tc>
          <w:tcPr>
            <w:tcW w:type="dxa" w:w="2078"/>
          </w:tcPr>
          <w:p>
            <w:pPr>
              <w:spacing w:after="40"/>
            </w:pPr>
            <w:r>
              <w:rPr>
                <w:sz w:val="18"/>
              </w:rPr>
            </w:r>
            <w:r>
              <w:rPr>
                <w:b w:val="0"/>
                <w:i w:val="0"/>
                <w:sz w:val="18"/>
              </w:rPr>
              <w:t>As for the other ocular steroids</w:t>
            </w:r>
          </w:p>
        </w:tc>
        <w:tc>
          <w:tcPr>
            <w:tcW w:type="dxa" w:w="2078"/>
          </w:tcPr>
          <w:p>
            <w:pPr>
              <w:spacing w:after="40"/>
            </w:pPr>
            <w:r>
              <w:rPr>
                <w:sz w:val="18"/>
              </w:rPr>
            </w:r>
            <w:r>
              <w:rPr>
                <w:b w:val="0"/>
                <w:i w:val="0"/>
                <w:sz w:val="18"/>
              </w:rPr>
              <w:t>The SOFT STEROIDS — lower risk of raising intraocular pressure.</w:t>
            </w:r>
          </w:p>
        </w:tc>
        <w:tc>
          <w:tcPr>
            <w:tcW w:type="dxa" w:w="2078"/>
          </w:tcPr>
          <w:p>
            <w:pPr>
              <w:spacing w:after="40"/>
            </w:pPr>
            <w:r>
              <w:rPr>
                <w:sz w:val="18"/>
              </w:rPr>
            </w:r>
            <w:r>
              <w:rPr>
                <w:b w:val="0"/>
                <w:i w:val="0"/>
                <w:sz w:val="18"/>
              </w:rPr>
              <w:t>Same class risks, but less pressure elevation</w:t>
            </w:r>
          </w:p>
        </w:tc>
        <w:tc>
          <w:tcPr>
            <w:tcW w:type="dxa" w:w="2078"/>
          </w:tcPr>
          <w:p>
            <w:pPr>
              <w:spacing w:after="40"/>
            </w:pPr>
            <w:r>
              <w:rPr>
                <w:sz w:val="18"/>
              </w:rPr>
            </w:r>
            <w:r>
              <w:rPr>
                <w:b w:val="0"/>
                <w:i w:val="0"/>
                <w:sz w:val="18"/>
              </w:rPr>
              <w:t>Same cautions, reduced</w:t>
            </w:r>
          </w:p>
        </w:tc>
        <w:tc>
          <w:tcPr>
            <w:tcW w:type="dxa" w:w="2078"/>
          </w:tcPr>
          <w:p>
            <w:pPr>
              <w:spacing w:after="40"/>
            </w:pPr>
            <w:r>
              <w:rPr>
                <w:sz w:val="18"/>
              </w:rPr>
            </w:r>
            <w:r>
              <w:rPr>
                <w:b w:val="0"/>
                <w:i w:val="0"/>
                <w:sz w:val="18"/>
              </w:rPr>
              <w:t>As for the glucocorticoids</w:t>
            </w:r>
          </w:p>
        </w:tc>
        <w:tc>
          <w:tcPr>
            <w:tcW w:type="dxa" w:w="2078"/>
          </w:tcPr>
          <w:p>
            <w:pPr>
              <w:spacing w:after="40"/>
            </w:pPr>
            <w:r>
              <w:rPr>
                <w:sz w:val="18"/>
              </w:rPr>
            </w:r>
            <w:r>
              <w:rPr>
                <w:b w:val="0"/>
                <w:i w:val="0"/>
                <w:sz w:val="18"/>
              </w:rPr>
              <w:t>slide 55</w:t>
            </w:r>
          </w:p>
        </w:tc>
      </w:tr>
    </w:tbl>
    <w:p>
      <w:pPr>
        <w:spacing w:after="80"/>
      </w:pPr>
    </w:p>
    <w:p>
      <w:pPr>
        <w:pStyle w:val="Heading1"/>
        <w:spacing w:before="280" w:after="100"/>
      </w:pPr>
      <w:r>
        <w:rPr>
          <w:rFonts w:ascii="Georgia" w:hAnsi="Georgia"/>
          <w:color w:val="6B3524"/>
        </w:rPr>
        <w:t>Dry eye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078"/>
        <w:gridCol w:w="2078"/>
        <w:gridCol w:w="2078"/>
        <w:gridCol w:w="2078"/>
        <w:gridCol w:w="2078"/>
        <w:gridCol w:w="2078"/>
        <w:gridCol w:w="2078"/>
      </w:tblGrid>
      <w:tr>
        <w:tc>
          <w:tcPr>
            <w:tcW w:type="dxa" w:w="2078"/>
            <w:shd w:val="clear" w:color="auto" w:fill="6B3524"/>
          </w:tcPr>
          <w:p>
            <w:pPr>
              <w:spacing w:after="40"/>
            </w:pPr>
            <w:r>
              <w:rPr>
                <w:b/>
                <w:color w:val="FFFFFF"/>
                <w:sz w:val="18"/>
              </w:rPr>
            </w:r>
            <w:r>
              <w:rPr>
                <w:b/>
                <w:i w:val="0"/>
                <w:color w:val="FFFFFF"/>
                <w:sz w:val="18"/>
              </w:rPr>
              <w:t>Agent</w:t>
            </w:r>
          </w:p>
        </w:tc>
        <w:tc>
          <w:tcPr>
            <w:tcW w:type="dxa" w:w="2078"/>
            <w:shd w:val="clear" w:color="auto" w:fill="6B3524"/>
          </w:tcPr>
          <w:p>
            <w:pPr>
              <w:spacing w:after="40"/>
            </w:pPr>
            <w:r>
              <w:rPr>
                <w:b/>
                <w:color w:val="FFFFFF"/>
                <w:sz w:val="18"/>
              </w:rPr>
            </w:r>
            <w:r>
              <w:rPr>
                <w:b/>
                <w:i w:val="0"/>
                <w:color w:val="FFFFFF"/>
                <w:sz w:val="18"/>
              </w:rPr>
              <w:t>Indication</w:t>
            </w:r>
          </w:p>
        </w:tc>
        <w:tc>
          <w:tcPr>
            <w:tcW w:type="dxa" w:w="2078"/>
            <w:shd w:val="clear" w:color="auto" w:fill="6B3524"/>
          </w:tcPr>
          <w:p>
            <w:pPr>
              <w:spacing w:after="40"/>
            </w:pPr>
            <w:r>
              <w:rPr>
                <w:b/>
                <w:color w:val="FFFFFF"/>
                <w:sz w:val="18"/>
              </w:rPr>
            </w:r>
            <w:r>
              <w:rPr>
                <w:b/>
                <w:i w:val="0"/>
                <w:color w:val="FFFFFF"/>
                <w:sz w:val="18"/>
              </w:rPr>
              <w:t>Patient education</w:t>
            </w:r>
          </w:p>
        </w:tc>
        <w:tc>
          <w:tcPr>
            <w:tcW w:type="dxa" w:w="2078"/>
            <w:shd w:val="clear" w:color="auto" w:fill="6B3524"/>
          </w:tcPr>
          <w:p>
            <w:pPr>
              <w:spacing w:after="40"/>
            </w:pPr>
            <w:r>
              <w:rPr>
                <w:b/>
                <w:color w:val="FFFFFF"/>
                <w:sz w:val="18"/>
              </w:rPr>
            </w:r>
            <w:r>
              <w:rPr>
                <w:b/>
                <w:i w:val="0"/>
                <w:color w:val="FFFFFF"/>
                <w:sz w:val="18"/>
              </w:rPr>
              <w:t>Side effects</w:t>
            </w:r>
          </w:p>
        </w:tc>
        <w:tc>
          <w:tcPr>
            <w:tcW w:type="dxa" w:w="2078"/>
            <w:shd w:val="clear" w:color="auto" w:fill="6B3524"/>
          </w:tcPr>
          <w:p>
            <w:pPr>
              <w:spacing w:after="40"/>
            </w:pPr>
            <w:r>
              <w:rPr>
                <w:b/>
                <w:color w:val="FFFFFF"/>
                <w:sz w:val="18"/>
              </w:rPr>
            </w:r>
            <w:r>
              <w:rPr>
                <w:b/>
                <w:i w:val="0"/>
                <w:color w:val="FFFFFF"/>
                <w:sz w:val="18"/>
              </w:rPr>
              <w:t>Contraindications &amp; cautions</w:t>
            </w:r>
          </w:p>
        </w:tc>
        <w:tc>
          <w:tcPr>
            <w:tcW w:type="dxa" w:w="2078"/>
            <w:shd w:val="clear" w:color="auto" w:fill="6B3524"/>
          </w:tcPr>
          <w:p>
            <w:pPr>
              <w:spacing w:after="40"/>
            </w:pPr>
            <w:r>
              <w:rPr>
                <w:b/>
                <w:color w:val="FFFFFF"/>
                <w:sz w:val="18"/>
              </w:rPr>
            </w:r>
            <w:r>
              <w:rPr>
                <w:b/>
                <w:i w:val="0"/>
                <w:color w:val="FFFFFF"/>
                <w:sz w:val="18"/>
              </w:rPr>
              <w:t>Mechanism</w:t>
            </w:r>
          </w:p>
        </w:tc>
        <w:tc>
          <w:tcPr>
            <w:tcW w:type="dxa" w:w="2078"/>
            <w:shd w:val="clear" w:color="auto" w:fill="6B3524"/>
          </w:tcPr>
          <w:p>
            <w:pPr>
              <w:spacing w:after="40"/>
            </w:pPr>
            <w:r>
              <w:rPr>
                <w:b/>
                <w:color w:val="FFFFFF"/>
                <w:sz w:val="18"/>
              </w:rPr>
            </w:r>
            <w:r>
              <w:rPr>
                <w:b/>
                <w:i w:val="0"/>
                <w:color w:val="FFFFFF"/>
                <w:sz w:val="18"/>
              </w:rPr>
              <w:t>Slide</w:t>
            </w:r>
          </w:p>
        </w:tc>
      </w:tr>
      <w:tr>
        <w:tc>
          <w:tcPr>
            <w:tcW w:type="dxa" w:w="2078"/>
          </w:tcPr>
          <w:p>
            <w:pPr>
              <w:spacing w:after="40"/>
            </w:pPr>
            <w:r>
              <w:rPr>
                <w:sz w:val="18"/>
              </w:rPr>
            </w:r>
            <w:r>
              <w:rPr>
                <w:b w:val="0"/>
                <w:i w:val="0"/>
                <w:sz w:val="18"/>
              </w:rPr>
              <w:t>Cyclosporine (Restasis)</w:t>
            </w:r>
          </w:p>
        </w:tc>
        <w:tc>
          <w:tcPr>
            <w:tcW w:type="dxa" w:w="2078"/>
          </w:tcPr>
          <w:p>
            <w:pPr>
              <w:spacing w:after="40"/>
            </w:pPr>
            <w:r>
              <w:rPr>
                <w:sz w:val="18"/>
              </w:rPr>
            </w:r>
            <w:r>
              <w:rPr>
                <w:b w:val="0"/>
                <w:i w:val="0"/>
                <w:sz w:val="18"/>
              </w:rPr>
              <w:t>Chronic dry eye with inflammation — keratoconjunctivitis sicca</w:t>
            </w:r>
          </w:p>
        </w:tc>
        <w:tc>
          <w:tcPr>
            <w:tcW w:type="dxa" w:w="2078"/>
          </w:tcPr>
          <w:p>
            <w:pPr>
              <w:spacing w:after="40"/>
            </w:pPr>
            <w:r>
              <w:rPr>
                <w:sz w:val="18"/>
              </w:rPr>
            </w:r>
            <w:r>
              <w:rPr>
                <w:b w:val="0"/>
                <w:i w:val="0"/>
                <w:sz w:val="18"/>
              </w:rPr>
              <w:t>Treat the underlying disease first. Systemic causes: Sjogren syndrome, rheumatoid arthritis, vitamin A deficiency, Stevens-Johnson syndrome.</w:t>
            </w:r>
          </w:p>
        </w:tc>
        <w:tc>
          <w:tcPr>
            <w:tcW w:type="dxa" w:w="2078"/>
          </w:tcPr>
          <w:p>
            <w:pPr>
              <w:spacing w:after="40"/>
            </w:pPr>
            <w:r>
              <w:rPr>
                <w:sz w:val="18"/>
              </w:rPr>
            </w:r>
            <w:r>
              <w:rPr>
                <w:b w:val="0"/>
                <w:i w:val="0"/>
                <w:sz w:val="18"/>
              </w:rPr>
              <w:t>OCULAR BURNING (17%), foreign body sensation, blurred vision</w:t>
            </w:r>
          </w:p>
        </w:tc>
        <w:tc>
          <w:tcPr>
            <w:tcW w:type="dxa" w:w="2078"/>
          </w:tcPr>
          <w:p>
            <w:pPr>
              <w:spacing w:after="40"/>
            </w:pPr>
            <w:r>
              <w:rPr>
                <w:sz w:val="18"/>
              </w:rPr>
            </w:r>
            <w:r>
              <w:rPr>
                <w:b w:val="0"/>
                <w:i w:val="0"/>
                <w:sz w:val="18"/>
              </w:rPr>
              <w:t>None specific</w:t>
            </w:r>
          </w:p>
        </w:tc>
        <w:tc>
          <w:tcPr>
            <w:tcW w:type="dxa" w:w="2078"/>
          </w:tcPr>
          <w:p>
            <w:pPr>
              <w:spacing w:after="40"/>
            </w:pPr>
            <w:r>
              <w:rPr>
                <w:sz w:val="18"/>
              </w:rPr>
            </w:r>
            <w:r>
              <w:rPr>
                <w:b w:val="0"/>
                <w:i w:val="0"/>
                <w:sz w:val="18"/>
              </w:rPr>
              <w:t>Inhibits production and release of interleukin 2, reducing T cell activation; raises tear production</w:t>
            </w:r>
          </w:p>
        </w:tc>
        <w:tc>
          <w:tcPr>
            <w:tcW w:type="dxa" w:w="2078"/>
          </w:tcPr>
          <w:p>
            <w:pPr>
              <w:spacing w:after="40"/>
            </w:pPr>
            <w:r>
              <w:rPr>
                <w:sz w:val="18"/>
              </w:rPr>
            </w:r>
            <w:r>
              <w:rPr>
                <w:b w:val="0"/>
                <w:i w:val="0"/>
                <w:sz w:val="18"/>
              </w:rPr>
              <w:t>slide 58</w:t>
            </w:r>
          </w:p>
        </w:tc>
      </w:tr>
    </w:tbl>
    <w:p>
      <w:pPr>
        <w:spacing w:after="80"/>
      </w:pPr>
    </w:p>
    <w:p>
      <w:pPr>
        <w:pStyle w:val="Heading1"/>
        <w:spacing w:before="280" w:after="100"/>
      </w:pPr>
      <w:r>
        <w:rPr>
          <w:rFonts w:ascii="Georgia" w:hAnsi="Georgia"/>
          <w:color w:val="6B3524"/>
        </w:rPr>
        <w:t>Glaucoma</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078"/>
        <w:gridCol w:w="2078"/>
        <w:gridCol w:w="2078"/>
        <w:gridCol w:w="2078"/>
        <w:gridCol w:w="2078"/>
        <w:gridCol w:w="2078"/>
        <w:gridCol w:w="2078"/>
      </w:tblGrid>
      <w:tr>
        <w:tc>
          <w:tcPr>
            <w:tcW w:type="dxa" w:w="2078"/>
            <w:shd w:val="clear" w:color="auto" w:fill="6B3524"/>
          </w:tcPr>
          <w:p>
            <w:pPr>
              <w:spacing w:after="40"/>
            </w:pPr>
            <w:r>
              <w:rPr>
                <w:b/>
                <w:color w:val="FFFFFF"/>
                <w:sz w:val="18"/>
              </w:rPr>
            </w:r>
            <w:r>
              <w:rPr>
                <w:b/>
                <w:i w:val="0"/>
                <w:color w:val="FFFFFF"/>
                <w:sz w:val="18"/>
              </w:rPr>
              <w:t>Agent</w:t>
            </w:r>
          </w:p>
        </w:tc>
        <w:tc>
          <w:tcPr>
            <w:tcW w:type="dxa" w:w="2078"/>
            <w:shd w:val="clear" w:color="auto" w:fill="6B3524"/>
          </w:tcPr>
          <w:p>
            <w:pPr>
              <w:spacing w:after="40"/>
            </w:pPr>
            <w:r>
              <w:rPr>
                <w:b/>
                <w:color w:val="FFFFFF"/>
                <w:sz w:val="18"/>
              </w:rPr>
            </w:r>
            <w:r>
              <w:rPr>
                <w:b/>
                <w:i w:val="0"/>
                <w:color w:val="FFFFFF"/>
                <w:sz w:val="18"/>
              </w:rPr>
              <w:t>Indication</w:t>
            </w:r>
          </w:p>
        </w:tc>
        <w:tc>
          <w:tcPr>
            <w:tcW w:type="dxa" w:w="2078"/>
            <w:shd w:val="clear" w:color="auto" w:fill="6B3524"/>
          </w:tcPr>
          <w:p>
            <w:pPr>
              <w:spacing w:after="40"/>
            </w:pPr>
            <w:r>
              <w:rPr>
                <w:b/>
                <w:color w:val="FFFFFF"/>
                <w:sz w:val="18"/>
              </w:rPr>
            </w:r>
            <w:r>
              <w:rPr>
                <w:b/>
                <w:i w:val="0"/>
                <w:color w:val="FFFFFF"/>
                <w:sz w:val="18"/>
              </w:rPr>
              <w:t>Patient education</w:t>
            </w:r>
          </w:p>
        </w:tc>
        <w:tc>
          <w:tcPr>
            <w:tcW w:type="dxa" w:w="2078"/>
            <w:shd w:val="clear" w:color="auto" w:fill="6B3524"/>
          </w:tcPr>
          <w:p>
            <w:pPr>
              <w:spacing w:after="40"/>
            </w:pPr>
            <w:r>
              <w:rPr>
                <w:b/>
                <w:color w:val="FFFFFF"/>
                <w:sz w:val="18"/>
              </w:rPr>
            </w:r>
            <w:r>
              <w:rPr>
                <w:b/>
                <w:i w:val="0"/>
                <w:color w:val="FFFFFF"/>
                <w:sz w:val="18"/>
              </w:rPr>
              <w:t>Side effects</w:t>
            </w:r>
          </w:p>
        </w:tc>
        <w:tc>
          <w:tcPr>
            <w:tcW w:type="dxa" w:w="2078"/>
            <w:shd w:val="clear" w:color="auto" w:fill="6B3524"/>
          </w:tcPr>
          <w:p>
            <w:pPr>
              <w:spacing w:after="40"/>
            </w:pPr>
            <w:r>
              <w:rPr>
                <w:b/>
                <w:color w:val="FFFFFF"/>
                <w:sz w:val="18"/>
              </w:rPr>
            </w:r>
            <w:r>
              <w:rPr>
                <w:b/>
                <w:i w:val="0"/>
                <w:color w:val="FFFFFF"/>
                <w:sz w:val="18"/>
              </w:rPr>
              <w:t>Contraindications &amp; cautions</w:t>
            </w:r>
          </w:p>
        </w:tc>
        <w:tc>
          <w:tcPr>
            <w:tcW w:type="dxa" w:w="2078"/>
            <w:shd w:val="clear" w:color="auto" w:fill="6B3524"/>
          </w:tcPr>
          <w:p>
            <w:pPr>
              <w:spacing w:after="40"/>
            </w:pPr>
            <w:r>
              <w:rPr>
                <w:b/>
                <w:color w:val="FFFFFF"/>
                <w:sz w:val="18"/>
              </w:rPr>
            </w:r>
            <w:r>
              <w:rPr>
                <w:b/>
                <w:i w:val="0"/>
                <w:color w:val="FFFFFF"/>
                <w:sz w:val="18"/>
              </w:rPr>
              <w:t>Mechanism</w:t>
            </w:r>
          </w:p>
        </w:tc>
        <w:tc>
          <w:tcPr>
            <w:tcW w:type="dxa" w:w="2078"/>
            <w:shd w:val="clear" w:color="auto" w:fill="6B3524"/>
          </w:tcPr>
          <w:p>
            <w:pPr>
              <w:spacing w:after="40"/>
            </w:pPr>
            <w:r>
              <w:rPr>
                <w:b/>
                <w:color w:val="FFFFFF"/>
                <w:sz w:val="18"/>
              </w:rPr>
            </w:r>
            <w:r>
              <w:rPr>
                <w:b/>
                <w:i w:val="0"/>
                <w:color w:val="FFFFFF"/>
                <w:sz w:val="18"/>
              </w:rPr>
              <w:t>Slide</w:t>
            </w:r>
          </w:p>
        </w:tc>
      </w:tr>
      <w:tr>
        <w:tc>
          <w:tcPr>
            <w:tcW w:type="dxa" w:w="2078"/>
          </w:tcPr>
          <w:p>
            <w:pPr>
              <w:spacing w:after="40"/>
            </w:pPr>
            <w:r>
              <w:rPr>
                <w:sz w:val="18"/>
              </w:rPr>
            </w:r>
            <w:r>
              <w:rPr>
                <w:b w:val="0"/>
                <w:i w:val="0"/>
                <w:sz w:val="18"/>
              </w:rPr>
              <w:t>Latanoprost (Xalatan), travoprost, bimatoprost (Lumigan), tafluprost</w:t>
            </w:r>
          </w:p>
        </w:tc>
        <w:tc>
          <w:tcPr>
            <w:tcW w:type="dxa" w:w="2078"/>
          </w:tcPr>
          <w:p>
            <w:pPr>
              <w:spacing w:after="40"/>
            </w:pPr>
            <w:r>
              <w:rPr>
                <w:sz w:val="18"/>
              </w:rPr>
            </w:r>
            <w:r>
              <w:rPr>
                <w:b w:val="0"/>
                <w:i w:val="0"/>
                <w:sz w:val="18"/>
              </w:rPr>
              <w:t>Open-angle glaucoma — FIRST LINE and the most commonly used</w:t>
            </w:r>
          </w:p>
        </w:tc>
        <w:tc>
          <w:tcPr>
            <w:tcW w:type="dxa" w:w="2078"/>
          </w:tcPr>
          <w:p>
            <w:pPr>
              <w:spacing w:after="40"/>
            </w:pPr>
            <w:r>
              <w:rPr>
                <w:sz w:val="18"/>
              </w:rPr>
            </w:r>
            <w:r>
              <w:rPr>
                <w:b w:val="0"/>
                <w:i w:val="0"/>
                <w:sz w:val="18"/>
              </w:rPr>
              <w:t>ONCE DAILY and do not exceed it — more frequent dosing INHIBITS the pressure-lowering effect. Warn about lash and iris changes.</w:t>
            </w:r>
          </w:p>
        </w:tc>
        <w:tc>
          <w:tcPr>
            <w:tcW w:type="dxa" w:w="2078"/>
          </w:tcPr>
          <w:p>
            <w:pPr>
              <w:spacing w:after="40"/>
            </w:pPr>
            <w:r>
              <w:rPr>
                <w:sz w:val="18"/>
              </w:rPr>
            </w:r>
            <w:r>
              <w:rPr>
                <w:b w:val="0"/>
                <w:i w:val="0"/>
                <w:sz w:val="18"/>
              </w:rPr>
              <w:t>Conjunctival hyperemia, ocular irritation, CHANGES IN EYELASH LENGTH AND IRIS COLOR</w:t>
            </w:r>
          </w:p>
        </w:tc>
        <w:tc>
          <w:tcPr>
            <w:tcW w:type="dxa" w:w="2078"/>
          </w:tcPr>
          <w:p>
            <w:pPr>
              <w:spacing w:after="40"/>
            </w:pPr>
            <w:r>
              <w:rPr>
                <w:sz w:val="18"/>
              </w:rPr>
            </w:r>
            <w:r>
              <w:rPr>
                <w:b w:val="0"/>
                <w:i w:val="0"/>
                <w:sz w:val="18"/>
              </w:rPr>
              <w:t>Limited systemic side effects</w:t>
            </w:r>
          </w:p>
        </w:tc>
        <w:tc>
          <w:tcPr>
            <w:tcW w:type="dxa" w:w="2078"/>
          </w:tcPr>
          <w:p>
            <w:pPr>
              <w:spacing w:after="40"/>
            </w:pPr>
            <w:r>
              <w:rPr>
                <w:sz w:val="18"/>
              </w:rPr>
            </w:r>
            <w:r>
              <w:rPr>
                <w:b w:val="0"/>
                <w:i w:val="0"/>
                <w:sz w:val="18"/>
              </w:rPr>
              <w:t>Prostaglandin F2 alpha analogs; increase aqueous OUTFLOW</w:t>
            </w:r>
          </w:p>
        </w:tc>
        <w:tc>
          <w:tcPr>
            <w:tcW w:type="dxa" w:w="2078"/>
          </w:tcPr>
          <w:p>
            <w:pPr>
              <w:spacing w:after="40"/>
            </w:pPr>
            <w:r>
              <w:rPr>
                <w:sz w:val="18"/>
              </w:rPr>
            </w:r>
            <w:r>
              <w:rPr>
                <w:b w:val="0"/>
                <w:i w:val="0"/>
                <w:sz w:val="18"/>
              </w:rPr>
              <w:t>slide 65</w:t>
            </w:r>
          </w:p>
        </w:tc>
      </w:tr>
      <w:tr>
        <w:tc>
          <w:tcPr>
            <w:tcW w:type="dxa" w:w="2078"/>
          </w:tcPr>
          <w:p>
            <w:pPr>
              <w:spacing w:after="40"/>
            </w:pPr>
            <w:r>
              <w:rPr>
                <w:sz w:val="18"/>
              </w:rPr>
            </w:r>
            <w:r>
              <w:rPr>
                <w:b w:val="0"/>
                <w:i w:val="0"/>
                <w:sz w:val="18"/>
              </w:rPr>
              <w:t>Timolol (Timoptic), carteolol, levobunolol — nonselective</w:t>
            </w:r>
          </w:p>
        </w:tc>
        <w:tc>
          <w:tcPr>
            <w:tcW w:type="dxa" w:w="2078"/>
          </w:tcPr>
          <w:p>
            <w:pPr>
              <w:spacing w:after="40"/>
            </w:pPr>
            <w:r>
              <w:rPr>
                <w:sz w:val="18"/>
              </w:rPr>
            </w:r>
            <w:r>
              <w:rPr>
                <w:b w:val="0"/>
                <w:i w:val="0"/>
                <w:sz w:val="18"/>
              </w:rPr>
              <w:t>Open-angle glaucoma — second line</w:t>
            </w:r>
          </w:p>
        </w:tc>
        <w:tc>
          <w:tcPr>
            <w:tcW w:type="dxa" w:w="2078"/>
          </w:tcPr>
          <w:p>
            <w:pPr>
              <w:spacing w:after="40"/>
            </w:pPr>
            <w:r>
              <w:rPr>
                <w:sz w:val="18"/>
              </w:rPr>
            </w:r>
            <w:r>
              <w:rPr>
                <w:b w:val="0"/>
                <w:i w:val="0"/>
                <w:sz w:val="18"/>
              </w:rPr>
              <w:t>Nonselective is MORE efficacious in the eye because beta-2 receptors predominate there — but that is also why it is worse tolerated.</w:t>
            </w:r>
          </w:p>
        </w:tc>
        <w:tc>
          <w:tcPr>
            <w:tcW w:type="dxa" w:w="2078"/>
          </w:tcPr>
          <w:p>
            <w:pPr>
              <w:spacing w:after="40"/>
            </w:pPr>
            <w:r>
              <w:rPr>
                <w:sz w:val="18"/>
              </w:rPr>
            </w:r>
            <w:r>
              <w:rPr>
                <w:b w:val="0"/>
                <w:i w:val="0"/>
                <w:sz w:val="18"/>
              </w:rPr>
              <w:t>Worsening heart failure, BRADYCARDIA, heart block, INCREASED AIRWAY RESISTANCE</w:t>
            </w:r>
          </w:p>
        </w:tc>
        <w:tc>
          <w:tcPr>
            <w:tcW w:type="dxa" w:w="2078"/>
          </w:tcPr>
          <w:p>
            <w:pPr>
              <w:spacing w:after="40"/>
            </w:pPr>
            <w:r>
              <w:rPr>
                <w:sz w:val="18"/>
              </w:rPr>
            </w:r>
            <w:r>
              <w:rPr>
                <w:b w:val="0"/>
                <w:i w:val="0"/>
                <w:sz w:val="18"/>
              </w:rPr>
              <w:t>Asthma, heart failure, bradyarrhythmia</w:t>
            </w:r>
          </w:p>
        </w:tc>
        <w:tc>
          <w:tcPr>
            <w:tcW w:type="dxa" w:w="2078"/>
          </w:tcPr>
          <w:p>
            <w:pPr>
              <w:spacing w:after="40"/>
            </w:pPr>
            <w:r>
              <w:rPr>
                <w:sz w:val="18"/>
              </w:rPr>
            </w:r>
            <w:r>
              <w:rPr>
                <w:b w:val="0"/>
                <w:i w:val="0"/>
                <w:sz w:val="18"/>
              </w:rPr>
              <w:t>Block beta receptors in ciliary body epithelium; less cyclic AMP, less aqueous PRODUCTION</w:t>
            </w:r>
          </w:p>
        </w:tc>
        <w:tc>
          <w:tcPr>
            <w:tcW w:type="dxa" w:w="2078"/>
          </w:tcPr>
          <w:p>
            <w:pPr>
              <w:spacing w:after="40"/>
            </w:pPr>
            <w:r>
              <w:rPr>
                <w:sz w:val="18"/>
              </w:rPr>
            </w:r>
            <w:r>
              <w:rPr>
                <w:b w:val="0"/>
                <w:i w:val="0"/>
                <w:sz w:val="18"/>
              </w:rPr>
              <w:t>slide 67</w:t>
            </w:r>
          </w:p>
        </w:tc>
      </w:tr>
      <w:tr>
        <w:tc>
          <w:tcPr>
            <w:tcW w:type="dxa" w:w="2078"/>
          </w:tcPr>
          <w:p>
            <w:pPr>
              <w:spacing w:after="40"/>
            </w:pPr>
            <w:r>
              <w:rPr>
                <w:sz w:val="18"/>
              </w:rPr>
            </w:r>
            <w:r>
              <w:rPr>
                <w:b w:val="0"/>
                <w:i w:val="0"/>
                <w:sz w:val="18"/>
              </w:rPr>
              <w:t>Betaxolol (Betoptic-S) — beta-1 selective</w:t>
            </w:r>
          </w:p>
        </w:tc>
        <w:tc>
          <w:tcPr>
            <w:tcW w:type="dxa" w:w="2078"/>
          </w:tcPr>
          <w:p>
            <w:pPr>
              <w:spacing w:after="40"/>
            </w:pPr>
            <w:r>
              <w:rPr>
                <w:sz w:val="18"/>
              </w:rPr>
            </w:r>
            <w:r>
              <w:rPr>
                <w:b w:val="0"/>
                <w:i w:val="0"/>
                <w:sz w:val="18"/>
              </w:rPr>
              <w:t>Open-angle glaucoma</w:t>
            </w:r>
          </w:p>
        </w:tc>
        <w:tc>
          <w:tcPr>
            <w:tcW w:type="dxa" w:w="2078"/>
          </w:tcPr>
          <w:p>
            <w:pPr>
              <w:spacing w:after="40"/>
            </w:pPr>
            <w:r>
              <w:rPr>
                <w:sz w:val="18"/>
              </w:rPr>
            </w:r>
            <w:r>
              <w:rPr>
                <w:b w:val="0"/>
                <w:i w:val="0"/>
                <w:sz w:val="18"/>
              </w:rPr>
              <w:t>The selective option, so LESS risk of bronchoconstriction in a patient with asthma.</w:t>
            </w:r>
          </w:p>
        </w:tc>
        <w:tc>
          <w:tcPr>
            <w:tcW w:type="dxa" w:w="2078"/>
          </w:tcPr>
          <w:p>
            <w:pPr>
              <w:spacing w:after="40"/>
            </w:pPr>
            <w:r>
              <w:rPr>
                <w:sz w:val="18"/>
              </w:rPr>
            </w:r>
            <w:r>
              <w:rPr>
                <w:b w:val="0"/>
                <w:i w:val="0"/>
                <w:sz w:val="18"/>
              </w:rPr>
              <w:t>As for the class, reduced respiratory risk</w:t>
            </w:r>
          </w:p>
        </w:tc>
        <w:tc>
          <w:tcPr>
            <w:tcW w:type="dxa" w:w="2078"/>
          </w:tcPr>
          <w:p>
            <w:pPr>
              <w:spacing w:after="40"/>
            </w:pPr>
            <w:r>
              <w:rPr>
                <w:sz w:val="18"/>
              </w:rPr>
            </w:r>
            <w:r>
              <w:rPr>
                <w:b w:val="0"/>
                <w:i w:val="0"/>
                <w:sz w:val="18"/>
              </w:rPr>
              <w:t>Still cardiac caution</w:t>
            </w:r>
          </w:p>
        </w:tc>
        <w:tc>
          <w:tcPr>
            <w:tcW w:type="dxa" w:w="2078"/>
          </w:tcPr>
          <w:p>
            <w:pPr>
              <w:spacing w:after="40"/>
            </w:pPr>
            <w:r>
              <w:rPr>
                <w:sz w:val="18"/>
              </w:rPr>
            </w:r>
            <w:r>
              <w:rPr>
                <w:b w:val="0"/>
                <w:i w:val="0"/>
                <w:sz w:val="18"/>
              </w:rPr>
              <w:t>Selective beta-1 blockade; reduces aqueous production</w:t>
            </w:r>
          </w:p>
        </w:tc>
        <w:tc>
          <w:tcPr>
            <w:tcW w:type="dxa" w:w="2078"/>
          </w:tcPr>
          <w:p>
            <w:pPr>
              <w:spacing w:after="40"/>
            </w:pPr>
            <w:r>
              <w:rPr>
                <w:sz w:val="18"/>
              </w:rPr>
            </w:r>
            <w:r>
              <w:rPr>
                <w:b w:val="0"/>
                <w:i w:val="0"/>
                <w:sz w:val="18"/>
              </w:rPr>
              <w:t>slide 68</w:t>
            </w:r>
          </w:p>
        </w:tc>
      </w:tr>
      <w:tr>
        <w:tc>
          <w:tcPr>
            <w:tcW w:type="dxa" w:w="2078"/>
          </w:tcPr>
          <w:p>
            <w:pPr>
              <w:spacing w:after="40"/>
            </w:pPr>
            <w:r>
              <w:rPr>
                <w:sz w:val="18"/>
              </w:rPr>
            </w:r>
            <w:r>
              <w:rPr>
                <w:b w:val="0"/>
                <w:i w:val="0"/>
                <w:sz w:val="18"/>
              </w:rPr>
              <w:t>Brimonidine (Alphagan P), apraclonidine (Iopidine)</w:t>
            </w:r>
          </w:p>
        </w:tc>
        <w:tc>
          <w:tcPr>
            <w:tcW w:type="dxa" w:w="2078"/>
          </w:tcPr>
          <w:p>
            <w:pPr>
              <w:spacing w:after="40"/>
            </w:pPr>
            <w:r>
              <w:rPr>
                <w:sz w:val="18"/>
              </w:rPr>
            </w:r>
            <w:r>
              <w:rPr>
                <w:b w:val="0"/>
                <w:i w:val="0"/>
                <w:sz w:val="18"/>
              </w:rPr>
              <w:t>Open-angle glaucoma — the only class doing BOTH jobs</w:t>
            </w:r>
          </w:p>
        </w:tc>
        <w:tc>
          <w:tcPr>
            <w:tcW w:type="dxa" w:w="2078"/>
          </w:tcPr>
          <w:p>
            <w:pPr>
              <w:spacing w:after="40"/>
            </w:pPr>
            <w:r>
              <w:rPr>
                <w:sz w:val="18"/>
              </w:rPr>
            </w:r>
            <w:r>
              <w:rPr>
                <w:b w:val="0"/>
                <w:i w:val="0"/>
                <w:sz w:val="18"/>
              </w:rPr>
              <w:t>Brimonidine is more lipophilic; apraclonidine is highly ionized at physiological pH. Allergic conjunctivitis is LESS common with brimonidine.</w:t>
            </w:r>
          </w:p>
        </w:tc>
        <w:tc>
          <w:tcPr>
            <w:tcW w:type="dxa" w:w="2078"/>
          </w:tcPr>
          <w:p>
            <w:pPr>
              <w:spacing w:after="40"/>
            </w:pPr>
            <w:r>
              <w:rPr>
                <w:sz w:val="18"/>
              </w:rPr>
            </w:r>
            <w:r>
              <w:rPr>
                <w:b w:val="0"/>
                <w:i w:val="0"/>
                <w:sz w:val="18"/>
              </w:rPr>
              <w:t>Ocular irritation, hyperemia (rebound effect), pruritus, allergic conjunctivitis</w:t>
            </w:r>
          </w:p>
        </w:tc>
        <w:tc>
          <w:tcPr>
            <w:tcW w:type="dxa" w:w="2078"/>
          </w:tcPr>
          <w:p>
            <w:pPr>
              <w:spacing w:after="40"/>
            </w:pPr>
            <w:r>
              <w:rPr>
                <w:sz w:val="18"/>
              </w:rPr>
            </w:r>
            <w:r>
              <w:rPr>
                <w:b w:val="0"/>
                <w:i w:val="0"/>
                <w:sz w:val="18"/>
              </w:rPr>
              <w:t>CONTRAINDICATED IN CHILDREN UNDER TWO — central nervous system depression and apnea</w:t>
            </w:r>
          </w:p>
        </w:tc>
        <w:tc>
          <w:tcPr>
            <w:tcW w:type="dxa" w:w="2078"/>
          </w:tcPr>
          <w:p>
            <w:pPr>
              <w:spacing w:after="40"/>
            </w:pPr>
            <w:r>
              <w:rPr>
                <w:sz w:val="18"/>
              </w:rPr>
            </w:r>
            <w:r>
              <w:rPr>
                <w:b w:val="0"/>
                <w:i w:val="0"/>
                <w:sz w:val="18"/>
              </w:rPr>
              <w:t>Alpha-2 agonists; decrease production AND increase outflow</w:t>
            </w:r>
          </w:p>
        </w:tc>
        <w:tc>
          <w:tcPr>
            <w:tcW w:type="dxa" w:w="2078"/>
          </w:tcPr>
          <w:p>
            <w:pPr>
              <w:spacing w:after="40"/>
            </w:pPr>
            <w:r>
              <w:rPr>
                <w:sz w:val="18"/>
              </w:rPr>
            </w:r>
            <w:r>
              <w:rPr>
                <w:b w:val="0"/>
                <w:i w:val="0"/>
                <w:sz w:val="18"/>
              </w:rPr>
              <w:t>slide 69</w:t>
            </w:r>
          </w:p>
        </w:tc>
      </w:tr>
      <w:tr>
        <w:tc>
          <w:tcPr>
            <w:tcW w:type="dxa" w:w="2078"/>
          </w:tcPr>
          <w:p>
            <w:pPr>
              <w:spacing w:after="40"/>
            </w:pPr>
            <w:r>
              <w:rPr>
                <w:sz w:val="18"/>
              </w:rPr>
            </w:r>
            <w:r>
              <w:rPr>
                <w:b w:val="0"/>
                <w:i w:val="0"/>
                <w:sz w:val="18"/>
              </w:rPr>
              <w:t>Dorzolamide (Trusopt), brinzolamide (Azopt)</w:t>
            </w:r>
          </w:p>
        </w:tc>
        <w:tc>
          <w:tcPr>
            <w:tcW w:type="dxa" w:w="2078"/>
          </w:tcPr>
          <w:p>
            <w:pPr>
              <w:spacing w:after="40"/>
            </w:pPr>
            <w:r>
              <w:rPr>
                <w:sz w:val="18"/>
              </w:rPr>
            </w:r>
            <w:r>
              <w:rPr>
                <w:b w:val="0"/>
                <w:i w:val="0"/>
                <w:sz w:val="18"/>
              </w:rPr>
              <w:t>Open-angle glaucoma</w:t>
            </w:r>
          </w:p>
        </w:tc>
        <w:tc>
          <w:tcPr>
            <w:tcW w:type="dxa" w:w="2078"/>
          </w:tcPr>
          <w:p>
            <w:pPr>
              <w:spacing w:after="40"/>
            </w:pPr>
            <w:r>
              <w:rPr>
                <w:sz w:val="18"/>
              </w:rPr>
            </w:r>
            <w:r>
              <w:rPr>
                <w:b w:val="0"/>
                <w:i w:val="0"/>
                <w:sz w:val="18"/>
              </w:rPr>
              <w:t>Warn about the taste and the sting — both are common enough to cause people to stop.</w:t>
            </w:r>
          </w:p>
        </w:tc>
        <w:tc>
          <w:tcPr>
            <w:tcW w:type="dxa" w:w="2078"/>
          </w:tcPr>
          <w:p>
            <w:pPr>
              <w:spacing w:after="40"/>
            </w:pPr>
            <w:r>
              <w:rPr>
                <w:sz w:val="18"/>
              </w:rPr>
            </w:r>
            <w:r>
              <w:rPr>
                <w:b w:val="0"/>
                <w:i w:val="0"/>
                <w:sz w:val="18"/>
              </w:rPr>
              <w:t>BITTER TASTE (25%), burning or stinging (33%), allergic conjunctivitis</w:t>
            </w:r>
          </w:p>
        </w:tc>
        <w:tc>
          <w:tcPr>
            <w:tcW w:type="dxa" w:w="2078"/>
          </w:tcPr>
          <w:p>
            <w:pPr>
              <w:spacing w:after="40"/>
            </w:pPr>
            <w:r>
              <w:rPr>
                <w:sz w:val="18"/>
              </w:rPr>
            </w:r>
            <w:r>
              <w:rPr>
                <w:b w:val="0"/>
                <w:i w:val="0"/>
                <w:sz w:val="18"/>
              </w:rPr>
              <w:t>Sulfonamide-derived</w:t>
            </w:r>
          </w:p>
        </w:tc>
        <w:tc>
          <w:tcPr>
            <w:tcW w:type="dxa" w:w="2078"/>
          </w:tcPr>
          <w:p>
            <w:pPr>
              <w:spacing w:after="40"/>
            </w:pPr>
            <w:r>
              <w:rPr>
                <w:sz w:val="18"/>
              </w:rPr>
            </w:r>
            <w:r>
              <w:rPr>
                <w:b w:val="0"/>
                <w:i w:val="0"/>
                <w:sz w:val="18"/>
              </w:rPr>
              <w:t>Inhibit carbonic anhydrase in ciliary body epithelium; less bicarbonate, less fluid transport</w:t>
            </w:r>
          </w:p>
        </w:tc>
        <w:tc>
          <w:tcPr>
            <w:tcW w:type="dxa" w:w="2078"/>
          </w:tcPr>
          <w:p>
            <w:pPr>
              <w:spacing w:after="40"/>
            </w:pPr>
            <w:r>
              <w:rPr>
                <w:sz w:val="18"/>
              </w:rPr>
            </w:r>
            <w:r>
              <w:rPr>
                <w:b w:val="0"/>
                <w:i w:val="0"/>
                <w:sz w:val="18"/>
              </w:rPr>
              <w:t>slide 70</w:t>
            </w:r>
          </w:p>
        </w:tc>
      </w:tr>
      <w:tr>
        <w:tc>
          <w:tcPr>
            <w:tcW w:type="dxa" w:w="2078"/>
          </w:tcPr>
          <w:p>
            <w:pPr>
              <w:spacing w:after="40"/>
            </w:pPr>
            <w:r>
              <w:rPr>
                <w:sz w:val="18"/>
              </w:rPr>
            </w:r>
            <w:r>
              <w:rPr>
                <w:b w:val="0"/>
                <w:i w:val="0"/>
                <w:sz w:val="18"/>
              </w:rPr>
              <w:t>Pilocarpine (Pilopine HS), carbachol (Miostat), acetylcholine (Miochol-E)</w:t>
            </w:r>
          </w:p>
        </w:tc>
        <w:tc>
          <w:tcPr>
            <w:tcW w:type="dxa" w:w="2078"/>
          </w:tcPr>
          <w:p>
            <w:pPr>
              <w:spacing w:after="40"/>
            </w:pPr>
            <w:r>
              <w:rPr>
                <w:sz w:val="18"/>
              </w:rPr>
            </w:r>
            <w:r>
              <w:rPr>
                <w:b w:val="0"/>
                <w:i w:val="0"/>
                <w:sz w:val="18"/>
              </w:rPr>
              <w:t>Open-angle glaucoma; acetylcholine in surgical settings</w:t>
            </w:r>
          </w:p>
        </w:tc>
        <w:tc>
          <w:tcPr>
            <w:tcW w:type="dxa" w:w="2078"/>
          </w:tcPr>
          <w:p>
            <w:pPr>
              <w:spacing w:after="40"/>
            </w:pPr>
            <w:r>
              <w:rPr>
                <w:sz w:val="18"/>
              </w:rPr>
            </w:r>
            <w:r>
              <w:rPr>
                <w:b w:val="0"/>
                <w:i w:val="0"/>
                <w:sz w:val="18"/>
              </w:rPr>
              <w:t>Poor compliance from side effects and frequent dosing. YOUNGER patients are usually intolerant because of the visual blurring.</w:t>
            </w:r>
          </w:p>
        </w:tc>
        <w:tc>
          <w:tcPr>
            <w:tcW w:type="dxa" w:w="2078"/>
          </w:tcPr>
          <w:p>
            <w:pPr>
              <w:spacing w:after="40"/>
            </w:pPr>
            <w:r>
              <w:rPr>
                <w:sz w:val="18"/>
              </w:rPr>
            </w:r>
            <w:r>
              <w:rPr>
                <w:b w:val="0"/>
                <w:i w:val="0"/>
                <w:sz w:val="18"/>
              </w:rPr>
              <w:t>FIXED SMALL PUPILS, myopia, visual disturbance, headache</w:t>
            </w:r>
          </w:p>
        </w:tc>
        <w:tc>
          <w:tcPr>
            <w:tcW w:type="dxa" w:w="2078"/>
          </w:tcPr>
          <w:p>
            <w:pPr>
              <w:spacing w:after="40"/>
            </w:pPr>
            <w:r>
              <w:rPr>
                <w:sz w:val="18"/>
              </w:rPr>
            </w:r>
            <w:r>
              <w:rPr>
                <w:b w:val="0"/>
                <w:i w:val="0"/>
                <w:sz w:val="18"/>
              </w:rPr>
              <w:t>Younger patients tolerate miotics poorly</w:t>
            </w:r>
          </w:p>
        </w:tc>
        <w:tc>
          <w:tcPr>
            <w:tcW w:type="dxa" w:w="2078"/>
          </w:tcPr>
          <w:p>
            <w:pPr>
              <w:spacing w:after="40"/>
            </w:pPr>
            <w:r>
              <w:rPr>
                <w:sz w:val="18"/>
              </w:rPr>
            </w:r>
            <w:r>
              <w:rPr>
                <w:b w:val="0"/>
                <w:i w:val="0"/>
                <w:sz w:val="18"/>
              </w:rPr>
              <w:t>Activate muscarinic receptors; ciliary muscle contraction facilitates OUTFLOW</w:t>
            </w:r>
          </w:p>
        </w:tc>
        <w:tc>
          <w:tcPr>
            <w:tcW w:type="dxa" w:w="2078"/>
          </w:tcPr>
          <w:p>
            <w:pPr>
              <w:spacing w:after="40"/>
            </w:pPr>
            <w:r>
              <w:rPr>
                <w:sz w:val="18"/>
              </w:rPr>
            </w:r>
            <w:r>
              <w:rPr>
                <w:b w:val="0"/>
                <w:i w:val="0"/>
                <w:sz w:val="18"/>
              </w:rPr>
              <w:t>slide 72</w:t>
            </w:r>
          </w:p>
        </w:tc>
      </w:tr>
    </w:tbl>
    <w:p>
      <w:pPr>
        <w:spacing w:after="80"/>
      </w:pPr>
    </w:p>
    <w:p>
      <w:pPr>
        <w:pStyle w:val="Heading1"/>
        <w:spacing w:before="280" w:after="100"/>
      </w:pPr>
      <w:r>
        <w:rPr>
          <w:rFonts w:ascii="Georgia" w:hAnsi="Georgia"/>
          <w:color w:val="6B3524"/>
        </w:rPr>
        <w:t>Diagnostic</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078"/>
        <w:gridCol w:w="2078"/>
        <w:gridCol w:w="2078"/>
        <w:gridCol w:w="2078"/>
        <w:gridCol w:w="2078"/>
        <w:gridCol w:w="2078"/>
        <w:gridCol w:w="2078"/>
      </w:tblGrid>
      <w:tr>
        <w:tc>
          <w:tcPr>
            <w:tcW w:type="dxa" w:w="2078"/>
            <w:shd w:val="clear" w:color="auto" w:fill="6B3524"/>
          </w:tcPr>
          <w:p>
            <w:pPr>
              <w:spacing w:after="40"/>
            </w:pPr>
            <w:r>
              <w:rPr>
                <w:b/>
                <w:color w:val="FFFFFF"/>
                <w:sz w:val="18"/>
              </w:rPr>
            </w:r>
            <w:r>
              <w:rPr>
                <w:b/>
                <w:i w:val="0"/>
                <w:color w:val="FFFFFF"/>
                <w:sz w:val="18"/>
              </w:rPr>
              <w:t>Agent</w:t>
            </w:r>
          </w:p>
        </w:tc>
        <w:tc>
          <w:tcPr>
            <w:tcW w:type="dxa" w:w="2078"/>
            <w:shd w:val="clear" w:color="auto" w:fill="6B3524"/>
          </w:tcPr>
          <w:p>
            <w:pPr>
              <w:spacing w:after="40"/>
            </w:pPr>
            <w:r>
              <w:rPr>
                <w:b/>
                <w:color w:val="FFFFFF"/>
                <w:sz w:val="18"/>
              </w:rPr>
            </w:r>
            <w:r>
              <w:rPr>
                <w:b/>
                <w:i w:val="0"/>
                <w:color w:val="FFFFFF"/>
                <w:sz w:val="18"/>
              </w:rPr>
              <w:t>Indication</w:t>
            </w:r>
          </w:p>
        </w:tc>
        <w:tc>
          <w:tcPr>
            <w:tcW w:type="dxa" w:w="2078"/>
            <w:shd w:val="clear" w:color="auto" w:fill="6B3524"/>
          </w:tcPr>
          <w:p>
            <w:pPr>
              <w:spacing w:after="40"/>
            </w:pPr>
            <w:r>
              <w:rPr>
                <w:b/>
                <w:color w:val="FFFFFF"/>
                <w:sz w:val="18"/>
              </w:rPr>
            </w:r>
            <w:r>
              <w:rPr>
                <w:b/>
                <w:i w:val="0"/>
                <w:color w:val="FFFFFF"/>
                <w:sz w:val="18"/>
              </w:rPr>
              <w:t>Patient education</w:t>
            </w:r>
          </w:p>
        </w:tc>
        <w:tc>
          <w:tcPr>
            <w:tcW w:type="dxa" w:w="2078"/>
            <w:shd w:val="clear" w:color="auto" w:fill="6B3524"/>
          </w:tcPr>
          <w:p>
            <w:pPr>
              <w:spacing w:after="40"/>
            </w:pPr>
            <w:r>
              <w:rPr>
                <w:b/>
                <w:color w:val="FFFFFF"/>
                <w:sz w:val="18"/>
              </w:rPr>
            </w:r>
            <w:r>
              <w:rPr>
                <w:b/>
                <w:i w:val="0"/>
                <w:color w:val="FFFFFF"/>
                <w:sz w:val="18"/>
              </w:rPr>
              <w:t>Side effects</w:t>
            </w:r>
          </w:p>
        </w:tc>
        <w:tc>
          <w:tcPr>
            <w:tcW w:type="dxa" w:w="2078"/>
            <w:shd w:val="clear" w:color="auto" w:fill="6B3524"/>
          </w:tcPr>
          <w:p>
            <w:pPr>
              <w:spacing w:after="40"/>
            </w:pPr>
            <w:r>
              <w:rPr>
                <w:b/>
                <w:color w:val="FFFFFF"/>
                <w:sz w:val="18"/>
              </w:rPr>
            </w:r>
            <w:r>
              <w:rPr>
                <w:b/>
                <w:i w:val="0"/>
                <w:color w:val="FFFFFF"/>
                <w:sz w:val="18"/>
              </w:rPr>
              <w:t>Contraindications &amp; cautions</w:t>
            </w:r>
          </w:p>
        </w:tc>
        <w:tc>
          <w:tcPr>
            <w:tcW w:type="dxa" w:w="2078"/>
            <w:shd w:val="clear" w:color="auto" w:fill="6B3524"/>
          </w:tcPr>
          <w:p>
            <w:pPr>
              <w:spacing w:after="40"/>
            </w:pPr>
            <w:r>
              <w:rPr>
                <w:b/>
                <w:color w:val="FFFFFF"/>
                <w:sz w:val="18"/>
              </w:rPr>
            </w:r>
            <w:r>
              <w:rPr>
                <w:b/>
                <w:i w:val="0"/>
                <w:color w:val="FFFFFF"/>
                <w:sz w:val="18"/>
              </w:rPr>
              <w:t>Mechanism</w:t>
            </w:r>
          </w:p>
        </w:tc>
        <w:tc>
          <w:tcPr>
            <w:tcW w:type="dxa" w:w="2078"/>
            <w:shd w:val="clear" w:color="auto" w:fill="6B3524"/>
          </w:tcPr>
          <w:p>
            <w:pPr>
              <w:spacing w:after="40"/>
            </w:pPr>
            <w:r>
              <w:rPr>
                <w:b/>
                <w:color w:val="FFFFFF"/>
                <w:sz w:val="18"/>
              </w:rPr>
            </w:r>
            <w:r>
              <w:rPr>
                <w:b/>
                <w:i w:val="0"/>
                <w:color w:val="FFFFFF"/>
                <w:sz w:val="18"/>
              </w:rPr>
              <w:t>Slide</w:t>
            </w:r>
          </w:p>
        </w:tc>
      </w:tr>
      <w:tr>
        <w:tc>
          <w:tcPr>
            <w:tcW w:type="dxa" w:w="2078"/>
          </w:tcPr>
          <w:p>
            <w:pPr>
              <w:spacing w:after="40"/>
            </w:pPr>
            <w:r>
              <w:rPr>
                <w:sz w:val="18"/>
              </w:rPr>
            </w:r>
            <w:r>
              <w:rPr>
                <w:b w:val="0"/>
                <w:i w:val="0"/>
                <w:sz w:val="18"/>
              </w:rPr>
              <w:t>Proparacaine (Alcaine), tetracaine (Altacaine)</w:t>
            </w:r>
          </w:p>
        </w:tc>
        <w:tc>
          <w:tcPr>
            <w:tcW w:type="dxa" w:w="2078"/>
          </w:tcPr>
          <w:p>
            <w:pPr>
              <w:spacing w:after="40"/>
            </w:pPr>
            <w:r>
              <w:rPr>
                <w:sz w:val="18"/>
              </w:rPr>
            </w:r>
            <w:r>
              <w:rPr>
                <w:b w:val="0"/>
                <w:i w:val="0"/>
                <w:sz w:val="18"/>
              </w:rPr>
              <w:t>Tonometry, foreign body removal, superficial corneal surgery</w:t>
            </w:r>
          </w:p>
        </w:tc>
        <w:tc>
          <w:tcPr>
            <w:tcW w:type="dxa" w:w="2078"/>
          </w:tcPr>
          <w:p>
            <w:pPr>
              <w:spacing w:after="40"/>
            </w:pPr>
            <w:r>
              <w:rPr>
                <w:sz w:val="18"/>
              </w:rPr>
            </w:r>
            <w:r>
              <w:rPr>
                <w:b w:val="0"/>
                <w:i w:val="0"/>
                <w:sz w:val="18"/>
              </w:rPr>
              <w:t>★ DO NOT WRITE PRESCRIPTIONS FOR THESE. The eye stays numb 10 to 20 minutes with NO BLINK REFLEX.</w:t>
            </w:r>
          </w:p>
        </w:tc>
        <w:tc>
          <w:tcPr>
            <w:tcW w:type="dxa" w:w="2078"/>
          </w:tcPr>
          <w:p>
            <w:pPr>
              <w:spacing w:after="40"/>
            </w:pPr>
            <w:r>
              <w:rPr>
                <w:sz w:val="18"/>
              </w:rPr>
            </w:r>
            <w:r>
              <w:rPr>
                <w:b w:val="0"/>
                <w:i w:val="0"/>
                <w:sz w:val="18"/>
              </w:rPr>
              <w:t>Hypersensitivity, burning sensation</w:t>
            </w:r>
          </w:p>
        </w:tc>
        <w:tc>
          <w:tcPr>
            <w:tcW w:type="dxa" w:w="2078"/>
          </w:tcPr>
          <w:p>
            <w:pPr>
              <w:spacing w:after="40"/>
            </w:pPr>
            <w:r>
              <w:rPr>
                <w:sz w:val="18"/>
              </w:rPr>
            </w:r>
            <w:r>
              <w:rPr>
                <w:b w:val="0"/>
                <w:i w:val="0"/>
                <w:sz w:val="18"/>
              </w:rPr>
              <w:t>Never dispensed for home use</w:t>
            </w:r>
          </w:p>
        </w:tc>
        <w:tc>
          <w:tcPr>
            <w:tcW w:type="dxa" w:w="2078"/>
          </w:tcPr>
          <w:p>
            <w:pPr>
              <w:spacing w:after="40"/>
            </w:pPr>
            <w:r>
              <w:rPr>
                <w:sz w:val="18"/>
              </w:rPr>
            </w:r>
            <w:r>
              <w:rPr>
                <w:b w:val="0"/>
                <w:i w:val="0"/>
                <w:sz w:val="18"/>
              </w:rPr>
              <w:t>Inhibit sodium influx into the neuron, preventing signal propagation</w:t>
            </w:r>
          </w:p>
        </w:tc>
        <w:tc>
          <w:tcPr>
            <w:tcW w:type="dxa" w:w="2078"/>
          </w:tcPr>
          <w:p>
            <w:pPr>
              <w:spacing w:after="40"/>
            </w:pPr>
            <w:r>
              <w:rPr>
                <w:sz w:val="18"/>
              </w:rPr>
            </w:r>
            <w:r>
              <w:rPr>
                <w:b w:val="0"/>
                <w:i w:val="0"/>
                <w:sz w:val="18"/>
              </w:rPr>
              <w:t>slide 75</w:t>
            </w:r>
          </w:p>
        </w:tc>
      </w:tr>
      <w:tr>
        <w:tc>
          <w:tcPr>
            <w:tcW w:type="dxa" w:w="2078"/>
          </w:tcPr>
          <w:p>
            <w:pPr>
              <w:spacing w:after="40"/>
            </w:pPr>
            <w:r>
              <w:rPr>
                <w:sz w:val="18"/>
              </w:rPr>
            </w:r>
            <w:r>
              <w:rPr>
                <w:b w:val="0"/>
                <w:i w:val="0"/>
                <w:sz w:val="18"/>
              </w:rPr>
              <w:t>Tropicamide (Mydriacyl), cyclopentolate (Cyclogyl), atropine</w:t>
            </w:r>
          </w:p>
        </w:tc>
        <w:tc>
          <w:tcPr>
            <w:tcW w:type="dxa" w:w="2078"/>
          </w:tcPr>
          <w:p>
            <w:pPr>
              <w:spacing w:after="40"/>
            </w:pPr>
            <w:r>
              <w:rPr>
                <w:sz w:val="18"/>
              </w:rPr>
            </w:r>
            <w:r>
              <w:rPr>
                <w:b w:val="0"/>
                <w:i w:val="0"/>
                <w:sz w:val="18"/>
              </w:rPr>
              <w:t>Fundoscopic examination; uveitis, to prevent synechiae and relieve ciliary spasm</w:t>
            </w:r>
          </w:p>
        </w:tc>
        <w:tc>
          <w:tcPr>
            <w:tcW w:type="dxa" w:w="2078"/>
          </w:tcPr>
          <w:p>
            <w:pPr>
              <w:spacing w:after="40"/>
            </w:pPr>
            <w:r>
              <w:rPr>
                <w:sz w:val="18"/>
              </w:rPr>
            </w:r>
            <w:r>
              <w:rPr>
                <w:b w:val="0"/>
                <w:i w:val="0"/>
                <w:sz w:val="18"/>
              </w:rPr>
              <w:t>Mydriasis. The pupil is LESS reactive to light than with a sympathomimetic.</w:t>
            </w:r>
          </w:p>
        </w:tc>
        <w:tc>
          <w:tcPr>
            <w:tcW w:type="dxa" w:w="2078"/>
          </w:tcPr>
          <w:p>
            <w:pPr>
              <w:spacing w:after="40"/>
            </w:pPr>
            <w:r>
              <w:rPr>
                <w:sz w:val="18"/>
              </w:rPr>
            </w:r>
            <w:r>
              <w:rPr>
                <w:b w:val="0"/>
                <w:i w:val="0"/>
                <w:sz w:val="18"/>
              </w:rPr>
              <w:t>Photosensitivity, blurred vision</w:t>
            </w:r>
          </w:p>
        </w:tc>
        <w:tc>
          <w:tcPr>
            <w:tcW w:type="dxa" w:w="2078"/>
          </w:tcPr>
          <w:p>
            <w:pPr>
              <w:spacing w:after="40"/>
            </w:pPr>
            <w:r>
              <w:rPr>
                <w:sz w:val="18"/>
              </w:rPr>
            </w:r>
            <w:r>
              <w:rPr>
                <w:b w:val="0"/>
                <w:i w:val="0"/>
                <w:sz w:val="18"/>
              </w:rPr>
              <w:t>Caution where dilation is unsafe</w:t>
            </w:r>
          </w:p>
        </w:tc>
        <w:tc>
          <w:tcPr>
            <w:tcW w:type="dxa" w:w="2078"/>
          </w:tcPr>
          <w:p>
            <w:pPr>
              <w:spacing w:after="40"/>
            </w:pPr>
            <w:r>
              <w:rPr>
                <w:sz w:val="18"/>
              </w:rPr>
            </w:r>
            <w:r>
              <w:rPr>
                <w:b w:val="0"/>
                <w:i w:val="0"/>
                <w:sz w:val="18"/>
              </w:rPr>
              <w:t>Antimuscarinics — competitively block muscarinic acetylcholine receptors</w:t>
            </w:r>
          </w:p>
        </w:tc>
        <w:tc>
          <w:tcPr>
            <w:tcW w:type="dxa" w:w="2078"/>
          </w:tcPr>
          <w:p>
            <w:pPr>
              <w:spacing w:after="40"/>
            </w:pPr>
            <w:r>
              <w:rPr>
                <w:sz w:val="18"/>
              </w:rPr>
            </w:r>
            <w:r>
              <w:rPr>
                <w:b w:val="0"/>
                <w:i w:val="0"/>
                <w:sz w:val="18"/>
              </w:rPr>
              <w:t>slide 76</w:t>
            </w:r>
          </w:p>
        </w:tc>
      </w:tr>
      <w:tr>
        <w:tc>
          <w:tcPr>
            <w:tcW w:type="dxa" w:w="2078"/>
          </w:tcPr>
          <w:p>
            <w:pPr>
              <w:spacing w:after="40"/>
            </w:pPr>
            <w:r>
              <w:rPr>
                <w:sz w:val="18"/>
              </w:rPr>
            </w:r>
            <w:r>
              <w:rPr>
                <w:b w:val="0"/>
                <w:i w:val="0"/>
                <w:sz w:val="18"/>
              </w:rPr>
              <w:t>Phenylephrine (Neo-Synephrine)</w:t>
            </w:r>
          </w:p>
        </w:tc>
        <w:tc>
          <w:tcPr>
            <w:tcW w:type="dxa" w:w="2078"/>
          </w:tcPr>
          <w:p>
            <w:pPr>
              <w:spacing w:after="40"/>
            </w:pPr>
            <w:r>
              <w:rPr>
                <w:sz w:val="18"/>
              </w:rPr>
            </w:r>
            <w:r>
              <w:rPr>
                <w:b w:val="0"/>
                <w:i w:val="0"/>
                <w:sz w:val="18"/>
              </w:rPr>
              <w:t>Mydriasis for examination</w:t>
            </w:r>
          </w:p>
        </w:tc>
        <w:tc>
          <w:tcPr>
            <w:tcW w:type="dxa" w:w="2078"/>
          </w:tcPr>
          <w:p>
            <w:pPr>
              <w:spacing w:after="40"/>
            </w:pPr>
            <w:r>
              <w:rPr>
                <w:sz w:val="18"/>
              </w:rPr>
            </w:r>
            <w:r>
              <w:rPr>
                <w:b w:val="0"/>
                <w:i w:val="0"/>
                <w:sz w:val="18"/>
              </w:rPr>
              <w:t>The dilated pupil stays MORE REACTIVE TO LIGHT than with an antimuscarinic.</w:t>
            </w:r>
          </w:p>
        </w:tc>
        <w:tc>
          <w:tcPr>
            <w:tcW w:type="dxa" w:w="2078"/>
          </w:tcPr>
          <w:p>
            <w:pPr>
              <w:spacing w:after="40"/>
            </w:pPr>
            <w:r>
              <w:rPr>
                <w:sz w:val="18"/>
              </w:rPr>
            </w:r>
            <w:r>
              <w:rPr>
                <w:b w:val="0"/>
                <w:i w:val="0"/>
                <w:sz w:val="18"/>
              </w:rPr>
              <w:t>Photosensitivity, conjunctival hyperemia</w:t>
            </w:r>
          </w:p>
        </w:tc>
        <w:tc>
          <w:tcPr>
            <w:tcW w:type="dxa" w:w="2078"/>
          </w:tcPr>
          <w:p>
            <w:pPr>
              <w:spacing w:after="40"/>
            </w:pPr>
            <w:r>
              <w:rPr>
                <w:sz w:val="18"/>
              </w:rPr>
            </w:r>
            <w:r>
              <w:rPr>
                <w:b w:val="0"/>
                <w:i w:val="0"/>
                <w:sz w:val="18"/>
              </w:rPr>
              <w:t>Caution in cardiovascular disease</w:t>
            </w:r>
          </w:p>
        </w:tc>
        <w:tc>
          <w:tcPr>
            <w:tcW w:type="dxa" w:w="2078"/>
          </w:tcPr>
          <w:p>
            <w:pPr>
              <w:spacing w:after="40"/>
            </w:pPr>
            <w:r>
              <w:rPr>
                <w:sz w:val="18"/>
              </w:rPr>
            </w:r>
            <w:r>
              <w:rPr>
                <w:b w:val="0"/>
                <w:i w:val="0"/>
                <w:sz w:val="18"/>
              </w:rPr>
              <w:t>Adrenergic receptor agonist</w:t>
            </w:r>
          </w:p>
        </w:tc>
        <w:tc>
          <w:tcPr>
            <w:tcW w:type="dxa" w:w="2078"/>
          </w:tcPr>
          <w:p>
            <w:pPr>
              <w:spacing w:after="40"/>
            </w:pPr>
            <w:r>
              <w:rPr>
                <w:sz w:val="18"/>
              </w:rPr>
            </w:r>
            <w:r>
              <w:rPr>
                <w:b w:val="0"/>
                <w:i w:val="0"/>
                <w:sz w:val="18"/>
              </w:rPr>
              <w:t>slide 77</w:t>
            </w:r>
          </w:p>
        </w:tc>
      </w:tr>
      <w:tr>
        <w:tc>
          <w:tcPr>
            <w:tcW w:type="dxa" w:w="2078"/>
          </w:tcPr>
          <w:p>
            <w:pPr>
              <w:spacing w:after="40"/>
            </w:pPr>
            <w:r>
              <w:rPr>
                <w:sz w:val="18"/>
              </w:rPr>
            </w:r>
            <w:r>
              <w:rPr>
                <w:b w:val="0"/>
                <w:i w:val="0"/>
                <w:sz w:val="18"/>
              </w:rPr>
              <w:t>Fluorescein</w:t>
            </w:r>
          </w:p>
        </w:tc>
        <w:tc>
          <w:tcPr>
            <w:tcW w:type="dxa" w:w="2078"/>
          </w:tcPr>
          <w:p>
            <w:pPr>
              <w:spacing w:after="40"/>
            </w:pPr>
            <w:r>
              <w:rPr>
                <w:sz w:val="18"/>
              </w:rPr>
            </w:r>
            <w:r>
              <w:rPr>
                <w:b w:val="0"/>
                <w:i w:val="0"/>
                <w:sz w:val="18"/>
              </w:rPr>
              <w:t>Anterior segment staining; disclosing corneal injury</w:t>
            </w:r>
          </w:p>
        </w:tc>
        <w:tc>
          <w:tcPr>
            <w:tcW w:type="dxa" w:w="2078"/>
          </w:tcPr>
          <w:p>
            <w:pPr>
              <w:spacing w:after="40"/>
            </w:pPr>
            <w:r>
              <w:rPr>
                <w:sz w:val="18"/>
              </w:rPr>
            </w:r>
            <w:r>
              <w:rPr>
                <w:b w:val="0"/>
                <w:i w:val="0"/>
                <w:sz w:val="18"/>
              </w:rPr>
              <w:t>Reveals epithelial defects of the cornea and conjunctiva.</w:t>
            </w:r>
          </w:p>
        </w:tc>
        <w:tc>
          <w:tcPr>
            <w:tcW w:type="dxa" w:w="2078"/>
          </w:tcPr>
          <w:p>
            <w:pPr>
              <w:spacing w:after="40"/>
            </w:pPr>
            <w:r>
              <w:rPr>
                <w:sz w:val="18"/>
              </w:rPr>
            </w:r>
            <w:r>
              <w:rPr>
                <w:b w:val="0"/>
                <w:i w:val="0"/>
                <w:sz w:val="18"/>
              </w:rPr>
              <w:t>Hypersensitivity, burning sensation</w:t>
            </w:r>
          </w:p>
        </w:tc>
        <w:tc>
          <w:tcPr>
            <w:tcW w:type="dxa" w:w="2078"/>
          </w:tcPr>
          <w:p>
            <w:pPr>
              <w:spacing w:after="40"/>
            </w:pPr>
            <w:r>
              <w:rPr>
                <w:sz w:val="18"/>
              </w:rPr>
            </w:r>
            <w:r>
              <w:rPr>
                <w:b w:val="0"/>
                <w:i w:val="0"/>
                <w:sz w:val="18"/>
              </w:rPr>
              <w:t>None specific</w:t>
            </w:r>
          </w:p>
        </w:tc>
        <w:tc>
          <w:tcPr>
            <w:tcW w:type="dxa" w:w="2078"/>
          </w:tcPr>
          <w:p>
            <w:pPr>
              <w:spacing w:after="40"/>
            </w:pPr>
            <w:r>
              <w:rPr>
                <w:sz w:val="18"/>
              </w:rPr>
            </w:r>
            <w:r>
              <w:rPr>
                <w:b w:val="0"/>
                <w:i w:val="0"/>
                <w:sz w:val="18"/>
              </w:rPr>
              <w:t>Stains epithelial defects</w:t>
            </w:r>
          </w:p>
        </w:tc>
        <w:tc>
          <w:tcPr>
            <w:tcW w:type="dxa" w:w="2078"/>
          </w:tcPr>
          <w:p>
            <w:pPr>
              <w:spacing w:after="40"/>
            </w:pPr>
            <w:r>
              <w:rPr>
                <w:sz w:val="18"/>
              </w:rPr>
            </w:r>
            <w:r>
              <w:rPr>
                <w:b w:val="0"/>
                <w:i w:val="0"/>
                <w:sz w:val="18"/>
              </w:rPr>
              <w:t>slide 78</w:t>
            </w:r>
          </w:p>
        </w:tc>
      </w:tr>
    </w:tbl>
    <w:p>
      <w:pPr>
        <w:spacing w:after="80"/>
      </w:pPr>
    </w:p>
    <w:p>
      <w:pPr>
        <w:spacing w:after="120"/>
      </w:pPr>
      <w:r>
        <w:rPr>
          <w:b w:val="0"/>
          <w:i w:val="0"/>
        </w:rPr>
        <w:t xml:space="preserve"> Source: </w:t>
      </w:r>
      <w:r>
        <w:rPr>
          <w:b w:val="0"/>
          <w:i/>
        </w:rPr>
        <w:t>Ophthalmology-2.pptx</w:t>
      </w:r>
      <w:r>
        <w:rPr>
          <w:b w:val="0"/>
          <w:i w:val="0"/>
        </w:rPr>
        <w:t xml:space="preserve"> (Adam Wood, PharmD, DABAT), and the lecture recording of 3 September 2026. No doses are given — Dr. Wood does not ask for them. </w:t>
      </w:r>
    </w:p>
    <w:sectPr w:rsidR="00FC693F" w:rsidRPr="0006063C" w:rsidSect="00034616">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