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B3524"/>
        </w:rPr>
        <w:t>Pharmacology I Exam 2 Study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6B3524"/>
        </w:rPr>
        <w:t>1 · Ophthalmic Drugs</w:t>
      </w:r>
    </w:p>
    <w:p>
      <w:pPr>
        <w:spacing w:after="120"/>
      </w:pPr>
      <w:r>
        <w:rPr>
          <w:b w:val="0"/>
          <w:i w:val="0"/>
        </w:rPr>
        <w:t>Adam Wood, Pharm.D., DABAT</w:t>
      </w:r>
    </w:p>
    <w:tbl>
      <w:tblPr>
        <w:tblW w:type="auto" w:w="0"/>
        <w:tblLook w:firstColumn="1" w:firstRow="1" w:lastColumn="0" w:lastRow="0" w:noHBand="0" w:noVBand="1" w:val="04A0"/>
        <w:tblBorders>
          <w:top w:val="single" w:sz="8" w:space="0" w:color="6B3524"/>
          <w:left w:val="single" w:sz="8" w:space="0" w:color="6B3524"/>
          <w:bottom w:val="single" w:sz="8" w:space="0" w:color="6B3524"/>
          <w:right w:val="single" w:sz="8" w:space="0" w:color="6B3524"/>
          <w:insideH w:val="single" w:sz="8" w:space="0" w:color="6B3524"/>
          <w:insideV w:val="single" w:sz="8" w:space="0" w:color="6B3524"/>
        </w:tblBorders>
      </w:tblPr>
      <w:tblGrid>
        <w:gridCol w:w="14544"/>
      </w:tblGrid>
      <w:tr>
        <w:tc>
          <w:tcPr>
            <w:tcW w:type="dxa" w:w="14544"/>
            <w:shd w:val="clear" w:color="auto" w:fill="EEF5F4"/>
          </w:tcPr>
          <w:p>
            <w:pPr>
              <w:spacing w:after="80"/>
            </w:pPr>
            <w:r>
              <w:rPr>
                <w:b/>
                <w:color w:val="6B3524"/>
                <w:sz w:val="18"/>
              </w:rPr>
              <w:t>INSTRUCTIONAL OBJECTIVES</w:t>
            </w:r>
          </w:p>
          <w:p>
            <w:pPr>
              <w:pStyle w:val="ListNumber"/>
              <w:spacing w:after="40"/>
            </w:pPr>
            <w:r>
              <w:rPr>
                <w:b w:val="0"/>
                <w:i w:val="0"/>
                <w:sz w:val="20"/>
              </w:rPr>
              <w:t>Identify ophthalmic drug classes and commonly prescribed ophthalmic drugs.</w:t>
            </w:r>
          </w:p>
          <w:p>
            <w:pPr>
              <w:pStyle w:val="ListNumber"/>
              <w:spacing w:after="40"/>
            </w:pPr>
            <w:r>
              <w:rPr>
                <w:b w:val="0"/>
                <w:i w:val="0"/>
                <w:sz w:val="20"/>
              </w:rPr>
              <w:t>Describe the molecular mechanism of action of ophthalmic drugs.</w:t>
            </w:r>
          </w:p>
          <w:p>
            <w:pPr>
              <w:pStyle w:val="ListNumber"/>
              <w:spacing w:after="40"/>
            </w:pPr>
            <w:r>
              <w:rPr>
                <w:b w:val="0"/>
                <w:i w:val="0"/>
                <w:sz w:val="20"/>
              </w:rPr>
              <w:t>Identify indications for commonly used ophthalmic drugs.</w:t>
            </w:r>
          </w:p>
          <w:p>
            <w:pPr>
              <w:pStyle w:val="ListNumber"/>
              <w:spacing w:after="40"/>
            </w:pPr>
            <w:r>
              <w:rPr>
                <w:b w:val="0"/>
                <w:i w:val="0"/>
                <w:sz w:val="20"/>
              </w:rPr>
              <w:t>Describe absorption, distribution, metabolism, and excretion of ophthalmic drugs.</w:t>
            </w:r>
          </w:p>
          <w:p>
            <w:pPr>
              <w:pStyle w:val="ListNumber"/>
              <w:spacing w:after="40"/>
            </w:pPr>
            <w:r>
              <w:rPr>
                <w:b w:val="0"/>
                <w:i w:val="0"/>
                <w:sz w:val="20"/>
              </w:rPr>
              <w:t>Summarize side effects and toxic manifestations of ophthalmic drugs.</w:t>
            </w:r>
          </w:p>
          <w:p>
            <w:pPr>
              <w:pStyle w:val="ListNumber"/>
              <w:spacing w:after="40"/>
            </w:pPr>
            <w:r>
              <w:rPr>
                <w:b w:val="0"/>
                <w:i w:val="0"/>
                <w:sz w:val="20"/>
              </w:rPr>
              <w:t>Describe adverse effects of ophthalmic drugs.</w:t>
            </w:r>
          </w:p>
          <w:p>
            <w:pPr>
              <w:pStyle w:val="ListNumber"/>
              <w:spacing w:after="40"/>
            </w:pPr>
            <w:r>
              <w:rPr>
                <w:b w:val="0"/>
                <w:i w:val="0"/>
                <w:sz w:val="20"/>
              </w:rPr>
              <w:t>Identify contraindications for ophthalmic drugs.</w:t>
            </w:r>
          </w:p>
          <w:p>
            <w:pPr>
              <w:pStyle w:val="ListNumber"/>
              <w:spacing w:after="40"/>
            </w:pPr>
            <w:r>
              <w:rPr>
                <w:b w:val="0"/>
                <w:i w:val="0"/>
                <w:sz w:val="20"/>
              </w:rPr>
              <w:t>Discuss potential drug-drug, drug-food, and drug-herb interactions with ophthalmic drugs.</w:t>
            </w:r>
          </w:p>
          <w:p>
            <w:pPr>
              <w:pStyle w:val="ListNumber"/>
              <w:spacing w:after="40"/>
            </w:pPr>
            <w:r>
              <w:rPr>
                <w:b w:val="0"/>
                <w:i w:val="0"/>
                <w:sz w:val="20"/>
              </w:rPr>
              <w:t>List commonly used protocols and patient monitoring for ophthalmic drugs.</w:t>
            </w:r>
          </w:p>
          <w:p>
            <w:pPr>
              <w:pStyle w:val="ListNumber"/>
              <w:spacing w:after="40"/>
            </w:pPr>
            <w:r>
              <w:rPr>
                <w:b w:val="0"/>
                <w:i w:val="0"/>
                <w:sz w:val="20"/>
              </w:rPr>
              <w:t>Outline appropriate patient education for ophthalmic drugs.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This is one of five lectures in Exam 2.</w:t>
            </w:r>
            <w:r>
              <w:rPr>
                <w:b w:val="0"/>
                <w:i w:val="0"/>
              </w:rPr>
              <w:t xml:space="preserve"> The syllabus puts </w:t>
            </w:r>
            <w:r>
              <w:rPr>
                <w:b/>
                <w:i w:val="0"/>
              </w:rPr>
              <w:t>Lectures 4 to 8</w:t>
            </w:r>
            <w:r>
              <w:rPr>
                <w:b w:val="0"/>
                <w:i w:val="0"/>
              </w:rPr>
              <w:t xml:space="preserve"> in this exam — ophthalmic drugs, then ear, nose and throat, and then the cardiovascular block. This guide covers </w:t>
            </w:r>
            <w:r>
              <w:rPr>
                <w:b/>
                <w:i w:val="0"/>
              </w:rPr>
              <w:t>Lectures 4 to 8</w:t>
            </w:r>
            <w:r>
              <w:rPr>
                <w:b w:val="0"/>
                <w:i w:val="0"/>
              </w:rPr>
              <w:t>: ophthalmic drugs (this section), ear, nose and throat drugs (section 2), antihypertensives (section 3), the lipid-lowering drugs (section 4) and myocardial ischemia drug therapy (section 5).</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HE PROMISED TO ASK THIS</w:t>
            </w:r>
          </w:p>
          <w:p>
            <w:pPr>
              <w:spacing w:after="120"/>
            </w:pPr>
            <w:r>
              <w:rPr>
                <w:b w:val="0"/>
                <w:i w:val="0"/>
              </w:rPr>
              <w:t xml:space="preserve">At 50:27 of the recording: </w:t>
            </w:r>
            <w:r>
              <w:rPr>
                <w:b w:val="0"/>
                <w:i/>
              </w:rPr>
              <w:t xml:space="preserve">“Most of you will probably forget this and we’ll get it wrong on the test. But I will tell you, </w:t>
            </w:r>
            <w:r>
              <w:rPr>
                <w:b/>
                <w:i/>
              </w:rPr>
              <w:t>I will ask this question</w:t>
            </w:r>
            <w:r>
              <w:rPr>
                <w:b w:val="0"/>
                <w:i/>
              </w:rPr>
              <w:t xml:space="preserve">, it’ll come up in ENT as well — there’s </w:t>
            </w:r>
            <w:r>
              <w:rPr>
                <w:b/>
                <w:i/>
              </w:rPr>
              <w:t>rebound hyperemia</w:t>
            </w:r>
            <w:r>
              <w:rPr>
                <w:b w:val="0"/>
                <w:i/>
              </w:rPr>
              <w:t>.”</w:t>
            </w:r>
          </w:p>
          <w:p>
            <w:pPr>
              <w:spacing w:after="120"/>
            </w:pPr>
            <w:r>
              <w:rPr>
                <w:b w:val="0"/>
                <w:i w:val="0"/>
              </w:rPr>
              <w:t xml:space="preserve">The mechanism in his own words: over-the-counter redness drops are </w:t>
            </w:r>
            <w:r>
              <w:rPr>
                <w:b/>
                <w:i w:val="0"/>
              </w:rPr>
              <w:t>alpha-1 agonists</w:t>
            </w:r>
            <w:r>
              <w:rPr>
                <w:b w:val="0"/>
                <w:i w:val="0"/>
              </w:rPr>
              <w:t xml:space="preserve"> that vasoconstrict to reduce swelling and edema. Constant activation </w:t>
            </w:r>
            <w:r>
              <w:rPr>
                <w:b/>
                <w:i w:val="0"/>
              </w:rPr>
              <w:t>downregulates the receptors</w:t>
            </w:r>
            <w:r>
              <w:rPr>
                <w:b w:val="0"/>
                <w:i w:val="0"/>
              </w:rPr>
              <w:t xml:space="preserve">, so when the drug stops there are fewer left for naturally occurring norepinephrine and epinephrine to bind — and the vessels </w:t>
            </w:r>
            <w:r>
              <w:rPr>
                <w:b w:val="0"/>
                <w:i/>
              </w:rPr>
              <w:t>“just blow open”</w:t>
            </w:r>
            <w:r>
              <w:rPr>
                <w:b w:val="0"/>
                <w:i w:val="0"/>
              </w:rPr>
              <w:t xml:space="preserve">. Hence the counseling point on slide 48: use for </w:t>
            </w:r>
            <w:r>
              <w:rPr>
                <w:b/>
                <w:i w:val="0"/>
              </w:rPr>
              <w:t>under two weeks</w:t>
            </w:r>
            <w:r>
              <w:rPr>
                <w:b w:val="0"/>
                <w:i w:val="0"/>
              </w:rPr>
              <w:t xml:space="preserve">, and if there is no improvement in </w:t>
            </w:r>
            <w:r>
              <w:rPr>
                <w:b/>
                <w:i w:val="0"/>
              </w:rPr>
              <w:t>72 hours</w:t>
            </w:r>
            <w:r>
              <w:rPr>
                <w:b w:val="0"/>
                <w:i w:val="0"/>
              </w:rPr>
              <w:t>, stop and be seen, because it may be something more serious.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val="0"/>
                <w:i w:val="0"/>
              </w:rPr>
              <w:t>What he told you not to learn.</w:t>
            </w:r>
          </w:p>
          <w:p>
            <w:pPr>
              <w:pStyle w:val="ListBullet"/>
              <w:spacing w:after="40"/>
            </w:pPr>
            <w:r>
              <w:rPr>
                <w:b w:val="0"/>
                <w:i w:val="0"/>
                <w:sz w:val="20"/>
                <w:highlight w:val="yellow"/>
              </w:rPr>
              <w:t>Dosing</w:t>
            </w:r>
            <w:r>
              <w:rPr>
                <w:b w:val="0"/>
                <w:i w:val="0"/>
                <w:sz w:val="20"/>
              </w:rPr>
              <w:t xml:space="preserve"> — </w:t>
            </w:r>
            <w:r>
              <w:rPr>
                <w:b w:val="0"/>
                <w:i/>
                <w:sz w:val="20"/>
              </w:rPr>
              <w:t>“not for memorization sake necessarily, because you can always look up the dosing for a medication if you know which drug you actually want to use in the first place.”</w:t>
            </w:r>
          </w:p>
          <w:p>
            <w:pPr>
              <w:pStyle w:val="ListBullet"/>
              <w:spacing w:after="40"/>
            </w:pPr>
            <w:r>
              <w:rPr>
                <w:b w:val="0"/>
                <w:i w:val="0"/>
                <w:sz w:val="20"/>
                <w:highlight w:val="yellow"/>
              </w:rPr>
              <w:t>Formulations</w:t>
            </w:r>
            <w:r>
              <w:rPr>
                <w:b w:val="0"/>
                <w:i w:val="0"/>
                <w:sz w:val="20"/>
              </w:rPr>
              <w:t xml:space="preserve"> — </w:t>
            </w:r>
            <w:r>
              <w:rPr>
                <w:b w:val="0"/>
                <w:i/>
                <w:sz w:val="20"/>
              </w:rPr>
              <w:t>“I don’t care that you memorize that necessarily, with some exceptions.”</w:t>
            </w:r>
          </w:p>
          <w:p>
            <w:pPr>
              <w:pStyle w:val="ListBullet"/>
              <w:spacing w:after="40"/>
            </w:pPr>
            <w:r>
              <w:rPr>
                <w:b w:val="0"/>
                <w:i w:val="0"/>
                <w:sz w:val="20"/>
                <w:highlight w:val="yellow"/>
              </w:rPr>
              <w:t>That one table of overlapping indications</w:t>
            </w:r>
            <w:r>
              <w:rPr>
                <w:b w:val="0"/>
                <w:i w:val="0"/>
                <w:sz w:val="20"/>
              </w:rPr>
              <w:t xml:space="preserve"> — </w:t>
            </w:r>
            <w:r>
              <w:rPr>
                <w:b w:val="0"/>
                <w:i/>
                <w:sz w:val="20"/>
              </w:rPr>
              <w:t>“Don’t worry so much about indications for use… a lot of them have a lot of crossover.”</w:t>
            </w:r>
            <w:r>
              <w:rPr>
                <w:b w:val="0"/>
                <w:i w:val="0"/>
                <w:sz w:val="20"/>
              </w:rPr>
              <w:t xml:space="preserve"> This is about the antibiotic table specifically. What each agent is </w:t>
            </w:r>
            <w:r>
              <w:rPr>
                <w:b/>
                <w:i w:val="0"/>
                <w:sz w:val="20"/>
              </w:rPr>
              <w:t>for</w:t>
            </w:r>
            <w:r>
              <w:rPr>
                <w:b w:val="0"/>
                <w:i w:val="0"/>
                <w:sz w:val="20"/>
              </w:rPr>
              <w:t xml:space="preserve"> is still examinable.</w:t>
            </w:r>
          </w:p>
          <w:p>
            <w:pPr>
              <w:pStyle w:val="ListBullet"/>
              <w:spacing w:after="40"/>
            </w:pPr>
            <w:r>
              <w:rPr>
                <w:b w:val="0"/>
                <w:i w:val="0"/>
                <w:sz w:val="20"/>
                <w:highlight w:val="yellow"/>
              </w:rPr>
              <w:t>Which agent causes the GENERIC irritation</w:t>
            </w:r>
            <w:r>
              <w:rPr>
                <w:b w:val="0"/>
                <w:i w:val="0"/>
                <w:sz w:val="20"/>
              </w:rPr>
              <w:t xml:space="preserve"> — </w:t>
            </w:r>
            <w:r>
              <w:rPr>
                <w:b w:val="0"/>
                <w:i/>
                <w:sz w:val="20"/>
              </w:rPr>
              <w:t>“don’t memorize which ones cause eye irritation or hypersensitivity. Any of these can do that.”</w:t>
            </w:r>
            <w:r>
              <w:rPr>
                <w:b w:val="0"/>
                <w:i w:val="0"/>
                <w:sz w:val="20"/>
              </w:rPr>
              <w:t xml:space="preserve"> The adverse effects that name one drug and no other — ciprofloxacin’s white precipitate, the bitter taste of the carbonic anhydrase inhibitors, iris color change with the prostaglandins — are examinable.</w:t>
            </w:r>
          </w:p>
          <w:p>
            <w:pPr>
              <w:pStyle w:val="ListBullet"/>
              <w:spacing w:after="40"/>
            </w:pPr>
            <w:r>
              <w:rPr>
                <w:b w:val="0"/>
                <w:i w:val="0"/>
                <w:sz w:val="20"/>
                <w:highlight w:val="yellow"/>
              </w:rPr>
              <w:t>Specific combination products</w:t>
            </w:r>
            <w:r>
              <w:rPr>
                <w:b w:val="0"/>
                <w:i w:val="0"/>
                <w:sz w:val="20"/>
              </w:rPr>
              <w:t xml:space="preserve"> — </w:t>
            </w:r>
            <w:r>
              <w:rPr>
                <w:b w:val="0"/>
                <w:i/>
                <w:sz w:val="20"/>
              </w:rPr>
              <w:t xml:space="preserve">“the specific combinations, I don’t care that you memorize, </w:t>
            </w:r>
            <w:r>
              <w:rPr>
                <w:b/>
                <w:i/>
                <w:sz w:val="20"/>
              </w:rPr>
              <w:t>but</w:t>
            </w:r>
            <w:r>
              <w:rPr>
                <w:b w:val="0"/>
                <w:i/>
                <w:sz w:val="20"/>
              </w:rPr>
              <w:t xml:space="preserve"> just know if I was to say, hey, patient’s on this drug right now, what would be a helpful second line agent to add on?”</w:t>
            </w:r>
            <w:r>
              <w:rPr>
                <w:b w:val="0"/>
                <w:i w:val="0"/>
                <w:sz w:val="20"/>
              </w:rPr>
              <w:t xml:space="preserve"> The products are out; the reasoning is in.</w:t>
            </w:r>
          </w:p>
          <w:p>
            <w:pPr>
              <w:spacing w:after="120"/>
            </w:pPr>
            <w:r>
              <w:rPr>
                <w:b w:val="0"/>
                <w:i w:val="0"/>
              </w:rPr>
              <w:t>mechanism</w:t>
            </w:r>
          </w:p>
          <w:p>
            <w:pPr>
              <w:spacing w:after="120"/>
            </w:pPr>
            <w:r>
              <w:rPr>
                <w:b w:val="0"/>
                <w:i w:val="0"/>
              </w:rPr>
              <w:t>drug choice</w:t>
            </w:r>
          </w:p>
        </w:tc>
      </w:tr>
    </w:tbl>
    <w:p>
      <w:pPr>
        <w:spacing w:after="80"/>
      </w:pPr>
    </w:p>
    <w:p>
      <w:pPr>
        <w:pStyle w:val="Heading2"/>
        <w:spacing w:before="200" w:after="100"/>
      </w:pPr>
      <w:r>
        <w:rPr>
          <w:rFonts w:ascii="Georgia" w:hAnsi="Georgia"/>
          <w:color w:val="6B3524"/>
        </w:rPr>
        <w:t>1.1 · Objective 4 — Getting a drug into the eye, and out again</w:t>
      </w:r>
    </w:p>
    <w:p>
      <w:pPr>
        <w:spacing w:after="120"/>
      </w:pPr>
      <w:r>
        <w:rPr>
          <w:b w:val="0"/>
          <w:i w:val="0"/>
        </w:rPr>
        <w:t xml:space="preserve">Every formulation decision in this lecture comes back to one variable: </w:t>
      </w:r>
      <w:r>
        <w:rPr>
          <w:b/>
          <w:i w:val="0"/>
        </w:rPr>
        <w:t>how long the drug stays in contact with the eye</w:t>
      </w:r>
      <w:r>
        <w:rPr>
          <w:b w:val="0"/>
          <w:i w:val="0"/>
        </w:rPr>
        <w:t xml:space="preserve">. Most drugs are given as solutions; suspensions are used where solubility is limited; and </w:t>
      </w:r>
      <w:r>
        <w:rPr>
          <w:b/>
          <w:i w:val="0"/>
        </w:rPr>
        <w:t>gels, ointments and solid inserts exist to prolong contact in the cul-de-sac</w:t>
      </w:r>
      <w:r>
        <w:rPr>
          <w:b w:val="0"/>
          <w:i w:val="0"/>
        </w:rPr>
        <w:t>. More time in the cul-de-sac means more absorption, and inserts and implants extend that into sustained release.</w:t>
      </w:r>
    </w:p>
    <w:p>
      <w:pPr>
        <w:spacing w:after="120"/>
      </w:pPr>
      <w:r>
        <w:rPr>
          <w:b w:val="0"/>
          <w:i w:val="0"/>
        </w:rPr>
        <w:t xml:space="preserve">Four things determine how much gets absorbed: </w:t>
      </w:r>
      <w:r>
        <w:rPr>
          <w:b/>
          <w:i w:val="0"/>
        </w:rPr>
        <w:t>time in the cul-de-sac and the precorneal tear film</w:t>
      </w:r>
      <w:r>
        <w:rPr>
          <w:b w:val="0"/>
          <w:i w:val="0"/>
        </w:rPr>
        <w:t xml:space="preserve">, </w:t>
      </w:r>
      <w:r>
        <w:rPr>
          <w:b/>
          <w:i w:val="0"/>
        </w:rPr>
        <w:t>nasolacrimal drainage</w:t>
      </w:r>
      <w:r>
        <w:rPr>
          <w:b w:val="0"/>
          <w:i w:val="0"/>
        </w:rPr>
        <w:t xml:space="preserve">, </w:t>
      </w:r>
      <w:r>
        <w:rPr>
          <w:b/>
          <w:i w:val="0"/>
        </w:rPr>
        <w:t>drug binding to tear and tissue proteins</w:t>
      </w:r>
      <w:r>
        <w:rPr>
          <w:b w:val="0"/>
          <w:i w:val="0"/>
        </w:rPr>
        <w:t xml:space="preserve">, and </w:t>
      </w:r>
      <w:r>
        <w:rPr>
          <w:b/>
          <w:i w:val="0"/>
        </w:rPr>
        <w:t>diffusion across the cornea and conjunctiva</w:t>
      </w:r>
      <w:r>
        <w:rPr>
          <w:b w:val="0"/>
          <w:i w:val="0"/>
        </w:rPr>
        <w:t>. Two of those can be manipulated — change the formulation, or block the tear ducts with silicone plugs or cautery so the drug cannot drain away.</w:t>
      </w:r>
    </w:p>
    <w:p>
      <w:pPr>
        <w:spacing w:after="120"/>
      </w:pPr>
      <w:r>
        <w:rPr>
          <w:b/>
          <w:i w:val="0"/>
        </w:rPr>
        <w:t>The two routes out, and why it matters.</w:t>
      </w:r>
      <w:r>
        <w:rPr>
          <w:b/>
          <w:i w:val="0"/>
        </w:rPr>
        <w:t>Transcorneal</w:t>
      </w:r>
      <w:r>
        <w:rPr>
          <w:b w:val="0"/>
          <w:i w:val="0"/>
        </w:rPr>
        <w:t xml:space="preserve"> absorption is what produces the </w:t>
      </w:r>
      <w:r>
        <w:rPr>
          <w:b w:val="0"/>
          <w:i/>
        </w:rPr>
        <w:t>local</w:t>
      </w:r>
      <w:r>
        <w:rPr>
          <w:b w:val="0"/>
          <w:i w:val="0"/>
        </w:rPr>
        <w:t xml:space="preserve"> ocular effect: it has a lag time, and its rate depends most on the </w:t>
      </w:r>
      <w:r>
        <w:rPr>
          <w:b/>
          <w:i w:val="0"/>
        </w:rPr>
        <w:t>concentration gradient</w:t>
      </w:r>
      <w:r>
        <w:rPr>
          <w:b w:val="0"/>
          <w:i w:val="0"/>
        </w:rPr>
        <w:t xml:space="preserve">, governed by </w:t>
      </w:r>
      <w:r>
        <w:rPr>
          <w:b/>
          <w:i w:val="0"/>
        </w:rPr>
        <w:t>Fick’s law</w:t>
      </w:r>
      <w:r>
        <w:rPr>
          <w:b w:val="0"/>
          <w:i w:val="0"/>
        </w:rPr>
        <w:t xml:space="preserve">. </w:t>
      </w:r>
      <w:r>
        <w:rPr>
          <w:b/>
          <w:i w:val="0"/>
        </w:rPr>
        <w:t>Nasolacrimal</w:t>
      </w:r>
      <w:r>
        <w:rPr>
          <w:b w:val="0"/>
          <w:i w:val="0"/>
        </w:rPr>
        <w:t xml:space="preserve"> drainage is what produces the </w:t>
      </w:r>
      <w:r>
        <w:rPr>
          <w:b w:val="0"/>
          <w:i/>
        </w:rPr>
        <w:t>systemic</w:t>
      </w:r>
      <w:r>
        <w:rPr>
          <w:b w:val="0"/>
          <w:i w:val="0"/>
        </w:rPr>
        <w:t xml:space="preserve"> effect — and because it bypasses the portal circulation it </w:t>
      </w:r>
      <w:r>
        <w:rPr>
          <w:b/>
          <w:i w:val="0"/>
        </w:rPr>
        <w:t>avoids first-pass metabolism</w:t>
      </w:r>
      <w:r>
        <w:rPr>
          <w:b w:val="0"/>
          <w:i w:val="0"/>
        </w:rPr>
        <w:t>. That single fact explains why a topical beta blocker can cause bradycardia, and why pressing on the punctum after a drop is worth doing.</w:t>
      </w:r>
    </w:p>
    <w:p>
      <w:pPr>
        <w:spacing w:after="120"/>
      </w:pPr>
      <w:r>
        <w:rPr>
          <w:b w:val="0"/>
          <w:i w:val="0"/>
        </w:rPr>
        <w:t xml:space="preserve">Distribution into the eye happens normally after systemic absorption, and some drugs </w:t>
      </w:r>
      <w:r>
        <w:rPr>
          <w:b/>
          <w:i w:val="0"/>
        </w:rPr>
        <w:t>accumulate</w:t>
      </w:r>
      <w:r>
        <w:rPr>
          <w:b w:val="0"/>
          <w:i w:val="0"/>
        </w:rPr>
        <w:t xml:space="preserve"> there — the named example is the </w:t>
      </w:r>
      <w:r>
        <w:rPr>
          <w:b/>
          <w:i w:val="0"/>
        </w:rPr>
        <w:t>bull’s eye lesion after chloroquine</w:t>
      </w:r>
      <w:r>
        <w:rPr>
          <w:b w:val="0"/>
          <w:i w:val="0"/>
        </w:rPr>
        <w:t xml:space="preserve">. Some drugs are also </w:t>
      </w:r>
      <w:r>
        <w:rPr>
          <w:b/>
          <w:i w:val="0"/>
        </w:rPr>
        <w:t>metabolized within the eye</w:t>
      </w:r>
      <w:r>
        <w:rPr>
          <w:b w:val="0"/>
          <w:i w:val="0"/>
        </w:rPr>
        <w:t xml:space="preserve">, which is exploited deliberately: </w:t>
      </w:r>
      <w:r>
        <w:rPr>
          <w:b/>
          <w:i w:val="0"/>
        </w:rPr>
        <w:t>dipivefrin becomes epinephrine</w:t>
      </w:r>
      <w:r>
        <w:rPr>
          <w:b w:val="0"/>
          <w:i w:val="0"/>
        </w:rPr>
        <w:t xml:space="preserve"> and </w:t>
      </w:r>
      <w:r>
        <w:rPr>
          <w:b/>
          <w:i w:val="0"/>
        </w:rPr>
        <w:t>latanoprost becomes prostaglandin F2-alpha</w:t>
      </w:r>
      <w:r>
        <w:rPr>
          <w:b w:val="0"/>
          <w:i w:val="0"/>
        </w:rPr>
        <w:t xml:space="preserve"> once inside. Elimination is otherwise ordinary hepatic and renal clearance.</w:t>
      </w:r>
    </w:p>
    <w:p>
      <w:pPr>
        <w:spacing w:after="120"/>
      </w:pPr>
      <w:r>
        <w:rPr>
          <w:b w:val="0"/>
          <w:i w:val="0"/>
        </w:rPr>
        <w:t xml:space="preserve">The route table is worth holding by its trade-offs rather than its rows. </w:t>
      </w:r>
      <w:r>
        <w:rPr>
          <w:b/>
          <w:i w:val="0"/>
        </w:rPr>
        <w:t>Topical</w:t>
      </w:r>
      <w:r>
        <w:rPr>
          <w:b w:val="0"/>
          <w:i w:val="0"/>
        </w:rPr>
        <w:t xml:space="preserve"> is convenient, economical and relatively safe, at the price of compliance, surface toxicity and systemic absorption. </w:t>
      </w:r>
      <w:r>
        <w:rPr>
          <w:b/>
          <w:i w:val="0"/>
        </w:rPr>
        <w:t>Periocular injection</w:t>
      </w:r>
      <w:r>
        <w:rPr>
          <w:b w:val="0"/>
          <w:i w:val="0"/>
        </w:rPr>
        <w:t xml:space="preserve"> — subconjunctival, sub-Tenon’s, retrobulbar — reaches posterior uveitis and cystoid macular edema, at the price of </w:t>
      </w:r>
      <w:r>
        <w:rPr>
          <w:b/>
          <w:i w:val="0"/>
        </w:rPr>
        <w:t>globe perforation, optic nerve trauma and retinal artery or vein occlusion</w:t>
      </w:r>
      <w:r>
        <w:rPr>
          <w:b w:val="0"/>
          <w:i w:val="0"/>
        </w:rPr>
        <w:t xml:space="preserve">. </w:t>
      </w:r>
      <w:r>
        <w:rPr>
          <w:b/>
          <w:i w:val="0"/>
        </w:rPr>
        <w:t>Intracameral</w:t>
      </w:r>
      <w:r>
        <w:rPr>
          <w:b w:val="0"/>
          <w:i w:val="0"/>
        </w:rPr>
        <w:t xml:space="preserve"> injection is prompt and used in anterior segment surgery and infection, but short-lived.</w:t>
      </w:r>
    </w:p>
    <w:p>
      <w:pPr>
        <w:spacing w:after="120"/>
      </w:pPr>
      <w:r>
        <w:rPr>
          <w:b w:val="0"/>
          <w:i w:val="0"/>
        </w:rPr>
        <w:t>Also tested</w:t>
      </w:r>
    </w:p>
    <w:p>
      <w:pPr>
        <w:pStyle w:val="ListBullet"/>
        <w:spacing w:after="40"/>
      </w:pPr>
      <w:r>
        <w:rPr>
          <w:b/>
          <w:i w:val="0"/>
          <w:sz w:val="20"/>
        </w:rPr>
        <w:t>Prodrugs in the eye.</w:t>
      </w:r>
      <w:r>
        <w:rPr>
          <w:b w:val="0"/>
          <w:i w:val="0"/>
          <w:sz w:val="20"/>
        </w:rPr>
        <w:t xml:space="preserve"> The eye metabolizes some drugs, which is exploited deliberately: dipivefrin becomes epinephrine and latanoprost becomes prostaglandin F2-alpha once inside.</w:t>
      </w:r>
    </w:p>
    <w:p>
      <w:pPr>
        <w:pStyle w:val="ListBullet"/>
        <w:spacing w:after="40"/>
      </w:pPr>
      <w:r>
        <w:rPr>
          <w:b/>
          <w:i w:val="0"/>
          <w:sz w:val="20"/>
        </w:rPr>
        <w:t>Blocking the tear ducts.</w:t>
      </w:r>
      <w:r>
        <w:rPr>
          <w:b w:val="0"/>
          <w:i w:val="0"/>
          <w:sz w:val="20"/>
        </w:rPr>
        <w:t xml:space="preserve"> Silicone plugs or cautery increase absorption because it stops the drop draining away; nasolacrimal drainage removes drug from the eye and sends it systemically.</w:t>
      </w:r>
    </w:p>
    <w:p>
      <w:pPr>
        <w:pStyle w:val="ListBullet"/>
        <w:spacing w:after="40"/>
      </w:pPr>
      <w:r>
        <w:rPr>
          <w:b/>
          <w:i w:val="0"/>
          <w:sz w:val="20"/>
        </w:rPr>
        <w:t>Intravitreal delivery.</w:t>
      </w:r>
      <w:r>
        <w:rPr>
          <w:b w:val="0"/>
          <w:i w:val="0"/>
          <w:sz w:val="20"/>
        </w:rPr>
        <w:t xml:space="preserve"> Intravitreal injection or device circumvents absorption entirely for an immediate local effect; it is used for endophthalmitis, retinitis and age-related macular degeneration, and its limitation is retinal toxicity.</w:t>
      </w:r>
    </w:p>
    <w:p>
      <w:pPr>
        <w:pStyle w:val="ListBullet"/>
        <w:spacing w:after="40"/>
      </w:pPr>
      <w:r>
        <w:rPr>
          <w:b/>
          <w:i w:val="0"/>
          <w:sz w:val="20"/>
        </w:rPr>
        <w:t>Intravitreal treatment of endophthalmitis.</w:t>
      </w:r>
      <w:r>
        <w:rPr>
          <w:b w:val="0"/>
          <w:i w:val="0"/>
          <w:sz w:val="20"/>
        </w:rPr>
        <w:t xml:space="preserve"> Intravitreal injection or device circumvents absorption entirely for an immediate local effect, with a potential sustained effect too; its limitation is retinal toxicity.</w:t>
      </w:r>
    </w:p>
    <w:p>
      <w:pPr>
        <w:pStyle w:val="Heading2"/>
        <w:spacing w:before="200" w:after="100"/>
      </w:pPr>
      <w:r>
        <w:rPr>
          <w:rFonts w:ascii="Georgia" w:hAnsi="Georgia"/>
          <w:color w:val="6B3524"/>
        </w:rPr>
        <w:t>1.2 · Objectives 1–3 — Ocular antibiotics</w:t>
      </w:r>
    </w:p>
    <w:p>
      <w:pPr>
        <w:spacing w:after="120"/>
      </w:pPr>
      <w:r>
        <w:rPr>
          <w:b w:val="0"/>
          <w:i w:val="0"/>
        </w:rPr>
        <w:t xml:space="preserve">Most conjunctivitis is </w:t>
      </w:r>
      <w:r>
        <w:rPr>
          <w:b/>
          <w:i w:val="0"/>
        </w:rPr>
        <w:t>not</w:t>
      </w:r>
      <w:r>
        <w:rPr>
          <w:b w:val="0"/>
          <w:i w:val="0"/>
        </w:rPr>
        <w:t xml:space="preserve"> bacterial. The common causes given are </w:t>
      </w:r>
      <w:r>
        <w:rPr>
          <w:b/>
          <w:i w:val="0"/>
        </w:rPr>
        <w:t>viruses, allergies, environmental irritants and contact lenses</w:t>
      </w:r>
      <w:r>
        <w:rPr>
          <w:b w:val="0"/>
          <w:i w:val="0"/>
        </w:rPr>
        <w:t xml:space="preserve">, with immune-mediated reactions, systemic disease and tumors less common. The bacterial pathogens worth naming are </w:t>
      </w:r>
      <w:r>
        <w:rPr>
          <w:b/>
          <w:i w:val="0"/>
        </w:rPr>
        <w:t>Neisseria, Haemophilus, Streptococcus pneumoniae, Staphylococcus aureus</w:t>
      </w:r>
      <w:r>
        <w:rPr>
          <w:b w:val="0"/>
          <w:i w:val="0"/>
        </w:rPr>
        <w:t xml:space="preserve"> and </w:t>
      </w:r>
      <w:r>
        <w:rPr>
          <w:b/>
          <w:i w:val="0"/>
        </w:rPr>
        <w:t>Moraxella catarrhalis</w:t>
      </w:r>
      <w:r>
        <w:rPr>
          <w:b w:val="0"/>
          <w:i w:val="0"/>
        </w:rPr>
        <w:t xml:space="preserve">. The spectrum shifts over time — the example is the fall in </w:t>
      </w:r>
      <w:r>
        <w:rPr>
          <w:b w:val="0"/>
          <w:i/>
        </w:rPr>
        <w:t>Haemophilus influenzae</w:t>
      </w:r>
      <w:r>
        <w:rPr>
          <w:b w:val="0"/>
          <w:i w:val="0"/>
        </w:rPr>
        <w:t xml:space="preserve"> after the vaccine.</w:t>
      </w:r>
    </w:p>
    <w:p>
      <w:pPr>
        <w:spacing w:after="120"/>
      </w:pPr>
      <w:r>
        <w:rPr>
          <w:b w:val="0"/>
          <w:i w:val="0"/>
        </w:rPr>
        <w:t xml:space="preserve">Small, mild, peripheral infections are treated </w:t>
      </w:r>
      <w:r>
        <w:rPr>
          <w:b/>
          <w:i w:val="0"/>
        </w:rPr>
        <w:t>topically and empirically</w:t>
      </w:r>
      <w:r>
        <w:rPr>
          <w:b w:val="0"/>
          <w:i w:val="0"/>
        </w:rPr>
        <w:t xml:space="preserve">, with broad-spectrum agents and </w:t>
      </w:r>
      <w:r>
        <w:rPr>
          <w:b/>
          <w:i w:val="0"/>
        </w:rPr>
        <w:t>no cultures unless an unusual organism is expected</w:t>
      </w:r>
      <w:r>
        <w:rPr>
          <w:b w:val="0"/>
          <w:i w:val="0"/>
        </w:rPr>
        <w:t xml:space="preserve"> — the immunocompromised patient being the example. Topical therapy buys very high local concentrations at the cost of poor systemic bioavailability and frequent dosing. Whether a patient needs oral or parenteral treatment instead turns on </w:t>
      </w:r>
      <w:r>
        <w:rPr>
          <w:b/>
          <w:i w:val="0"/>
        </w:rPr>
        <w:t>clinical setting, age, immune status and how much is involved</w:t>
      </w:r>
      <w:r>
        <w:rPr>
          <w:b w:val="0"/>
          <w:i w:val="0"/>
        </w:rPr>
        <w:t>.</w:t>
      </w:r>
    </w:p>
    <w:p>
      <w:pPr>
        <w:spacing w:after="120"/>
      </w:pPr>
      <w:r>
        <w:rPr>
          <w:b/>
          <w:i w:val="0"/>
        </w:rPr>
        <w:t>The mechanism pairing to hold.</w:t>
      </w:r>
      <w:r>
        <w:rPr>
          <w:b w:val="0"/>
          <w:i w:val="0"/>
        </w:rPr>
        <w:t xml:space="preserve"> Two classes stop bacterial protein synthesis and differ only in where: </w:t>
      </w:r>
      <w:r>
        <w:rPr>
          <w:b/>
          <w:i w:val="0"/>
        </w:rPr>
        <w:t>macrolides at the 50S</w:t>
      </w:r>
      <w:r>
        <w:rPr>
          <w:b w:val="0"/>
          <w:i w:val="0"/>
        </w:rPr>
        <w:t xml:space="preserve"> subunit (blocking transpeptidation) and </w:t>
      </w:r>
      <w:r>
        <w:rPr>
          <w:b/>
          <w:i w:val="0"/>
        </w:rPr>
        <w:t>aminoglycosides at the 30S</w:t>
      </w:r>
      <w:r>
        <w:rPr>
          <w:b w:val="0"/>
          <w:i w:val="0"/>
        </w:rPr>
        <w:t xml:space="preserve">. Everything else has its own target — </w:t>
      </w:r>
      <w:r>
        <w:rPr>
          <w:b/>
          <w:i w:val="0"/>
        </w:rPr>
        <w:t>fluoroquinolones</w:t>
      </w:r>
      <w:r>
        <w:rPr>
          <w:b w:val="0"/>
          <w:i w:val="0"/>
        </w:rPr>
        <w:t xml:space="preserve"> inhibit DNA gyrase and topoisomerase IV so supercoiled DNA cannot relax and the strands break; </w:t>
      </w:r>
      <w:r>
        <w:rPr>
          <w:b/>
          <w:i w:val="0"/>
        </w:rPr>
        <w:t>bacitracin</w:t>
      </w:r>
      <w:r>
        <w:rPr>
          <w:b w:val="0"/>
          <w:i w:val="0"/>
        </w:rPr>
        <w:t xml:space="preserve"> blocks mucopeptide transfer into the cell wall; </w:t>
      </w:r>
      <w:r>
        <w:rPr>
          <w:b/>
          <w:i w:val="0"/>
        </w:rPr>
        <w:t>polymyxin B</w:t>
      </w:r>
      <w:r>
        <w:rPr>
          <w:b w:val="0"/>
          <w:i w:val="0"/>
        </w:rPr>
        <w:t xml:space="preserve"> binds membrane phospholipids and lets the contents leak out; and </w:t>
      </w:r>
      <w:r>
        <w:rPr>
          <w:b/>
          <w:i w:val="0"/>
        </w:rPr>
        <w:t>sulfacetamide</w:t>
      </w:r>
      <w:r>
        <w:rPr>
          <w:b w:val="0"/>
          <w:i w:val="0"/>
        </w:rPr>
        <w:t xml:space="preserve"> and </w:t>
      </w:r>
      <w:r>
        <w:rPr>
          <w:b/>
          <w:i w:val="0"/>
        </w:rPr>
        <w:t>trimethoprim</w:t>
      </w:r>
      <w:r>
        <w:rPr>
          <w:b w:val="0"/>
          <w:i w:val="0"/>
        </w:rPr>
        <w:t xml:space="preserve"> hit folate at successive steps — sulfacetamide antagonizing p-aminobenzoic acid, trimethoprim blocking reduction to tetrahydrofolate.</w:t>
      </w:r>
    </w:p>
    <w:p>
      <w:pPr>
        <w:spacing w:after="120"/>
      </w:pPr>
      <w:r>
        <w:rPr>
          <w:b/>
          <w:i w:val="0"/>
        </w:rPr>
        <w:t>Drug choice is the testable part.</w:t>
      </w:r>
      <w:r>
        <w:rPr>
          <w:b w:val="0"/>
          <w:i w:val="0"/>
        </w:rPr>
        <w:t xml:space="preserve"> </w:t>
      </w:r>
      <w:r>
        <w:rPr>
          <w:b/>
          <w:i w:val="0"/>
        </w:rPr>
        <w:t>Erythromycin</w:t>
      </w:r>
      <w:r>
        <w:rPr>
          <w:b w:val="0"/>
          <w:i w:val="0"/>
        </w:rPr>
        <w:t xml:space="preserve"> ointment is the commonest ophthalmic antibiotic and is </w:t>
      </w:r>
      <w:r>
        <w:rPr>
          <w:b/>
          <w:i w:val="0"/>
        </w:rPr>
        <w:t>soothing on an inflamed eye</w:t>
      </w:r>
      <w:r>
        <w:rPr>
          <w:b w:val="0"/>
          <w:i w:val="0"/>
        </w:rPr>
        <w:t xml:space="preserve">, so it may reasonably be used before a bacterial cause is confirmed; it is also the agent for </w:t>
      </w:r>
      <w:r>
        <w:rPr>
          <w:b/>
          <w:i w:val="0"/>
        </w:rPr>
        <w:t>ophthalmia neonatorum prophylaxis</w:t>
      </w:r>
      <w:r>
        <w:rPr>
          <w:b w:val="0"/>
          <w:i w:val="0"/>
        </w:rPr>
        <w:t xml:space="preserve">. </w:t>
      </w:r>
      <w:r>
        <w:rPr>
          <w:b/>
          <w:i w:val="0"/>
        </w:rPr>
        <w:t>Azithromycin</w:t>
      </w:r>
      <w:r>
        <w:rPr>
          <w:b w:val="0"/>
          <w:i w:val="0"/>
        </w:rPr>
        <w:t xml:space="preserve"> is dosed twice daily rather than four or more times, but is considerably more expensive and used less often. </w:t>
      </w:r>
      <w:r>
        <w:rPr>
          <w:b/>
          <w:i w:val="0"/>
        </w:rPr>
        <w:t>Fluoroquinolones</w:t>
      </w:r>
      <w:r>
        <w:rPr>
          <w:b w:val="0"/>
          <w:i w:val="0"/>
        </w:rPr>
        <w:t xml:space="preserve"> are preferred for </w:t>
      </w:r>
      <w:r>
        <w:rPr>
          <w:b/>
          <w:i w:val="0"/>
        </w:rPr>
        <w:t>corneal ulcers</w:t>
      </w:r>
      <w:r>
        <w:rPr>
          <w:b w:val="0"/>
          <w:i w:val="0"/>
        </w:rPr>
        <w:t xml:space="preserve"> and for suspected </w:t>
      </w:r>
      <w:r>
        <w:rPr>
          <w:b/>
          <w:i w:val="0"/>
        </w:rPr>
        <w:t>Pseudomonas aeruginosa</w:t>
      </w:r>
      <w:r>
        <w:rPr>
          <w:b w:val="0"/>
          <w:i w:val="0"/>
        </w:rPr>
        <w:t xml:space="preserve">, which is why they are also the choice for conjunctivitis in a </w:t>
      </w:r>
      <w:r>
        <w:rPr>
          <w:b/>
          <w:i w:val="0"/>
        </w:rPr>
        <w:t>contact lens wearer</w:t>
      </w:r>
      <w:r>
        <w:rPr>
          <w:b w:val="0"/>
          <w:i w:val="0"/>
        </w:rPr>
        <w:t xml:space="preserve"> once keratitis has been excluded — set against cost and emerging resistance.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Two adverse effects that actually distinguish something.</w:t>
            </w:r>
            <w:r>
              <w:rPr>
                <w:b w:val="0"/>
                <w:i w:val="0"/>
              </w:rPr>
              <w:t xml:space="preserve"> Ocular irritation and hypersensitivity are shared by essentially every agent here, so they name no drug. The two that do: </w:t>
            </w:r>
            <w:r>
              <w:rPr>
                <w:b/>
                <w:i w:val="0"/>
              </w:rPr>
              <w:t>ciprofloxacin produces a white precipitate in about 17%</w:t>
            </w:r>
            <w:r>
              <w:rPr>
                <w:b w:val="0"/>
                <w:i w:val="0"/>
              </w:rPr>
              <w:t xml:space="preserve">, worth recognizing so it is not mistaken for a worsening infiltrate; and </w:t>
            </w:r>
            <w:r>
              <w:rPr>
                <w:b/>
                <w:i w:val="0"/>
              </w:rPr>
              <w:t>aminoglycosides used for several days can cause corneal ulceration and a reactive keratoconjunctivitis</w:t>
            </w:r>
            <w:r>
              <w:rPr>
                <w:b w:val="0"/>
                <w:i w:val="0"/>
              </w:rPr>
              <w:t xml:space="preserve">, which changes how long you continue them. The one genuine contraindication in the list is </w:t>
            </w:r>
            <w:r>
              <w:rPr>
                <w:b/>
                <w:i w:val="0"/>
              </w:rPr>
              <w:t>sulfacetamide in sulfonamide allergy</w:t>
            </w:r>
            <w:r>
              <w:rPr>
                <w:b w:val="0"/>
                <w:i w:val="0"/>
              </w:rPr>
              <w:t>.</w:t>
            </w:r>
          </w:p>
        </w:tc>
      </w:tr>
    </w:tbl>
    <w:p>
      <w:pPr>
        <w:spacing w:after="80"/>
      </w:pPr>
    </w:p>
    <w:p>
      <w:pPr>
        <w:spacing w:after="120"/>
      </w:pPr>
      <w:r>
        <w:rPr>
          <w:b w:val="0"/>
          <w:i w:val="0"/>
        </w:rPr>
        <w:t>Also tested</w:t>
      </w:r>
    </w:p>
    <w:p>
      <w:pPr>
        <w:pStyle w:val="ListBullet"/>
        <w:spacing w:after="40"/>
      </w:pPr>
      <w:r>
        <w:rPr>
          <w:b/>
          <w:i w:val="0"/>
          <w:sz w:val="20"/>
        </w:rPr>
        <w:t>Changing spectrum of ocular infection.</w:t>
      </w:r>
      <w:r>
        <w:rPr>
          <w:b w:val="0"/>
          <w:i w:val="0"/>
          <w:sz w:val="20"/>
        </w:rPr>
        <w:t xml:space="preserve"> The spectrum is not fixed; for example, </w:t>
      </w:r>
      <w:r>
        <w:rPr>
          <w:b w:val="0"/>
          <w:i/>
          <w:sz w:val="20"/>
        </w:rPr>
        <w:t>Haemophilus influenzae</w:t>
      </w:r>
      <w:r>
        <w:rPr>
          <w:b w:val="0"/>
          <w:i w:val="0"/>
          <w:sz w:val="20"/>
        </w:rPr>
        <w:t xml:space="preserve"> fell after vaccination was introduced, which changes what empiric therapy has to cover.</w:t>
      </w:r>
    </w:p>
    <w:p>
      <w:pPr>
        <w:pStyle w:val="ListBullet"/>
        <w:spacing w:after="40"/>
      </w:pPr>
      <w:r>
        <w:rPr>
          <w:b/>
          <w:i w:val="0"/>
          <w:sz w:val="20"/>
        </w:rPr>
        <w:t>Bacterial conjunctivitis in contact lens wearers.</w:t>
      </w:r>
      <w:r>
        <w:rPr>
          <w:b w:val="0"/>
          <w:i w:val="0"/>
          <w:sz w:val="20"/>
        </w:rPr>
        <w:t xml:space="preserve"> With keratitis ruled out, a fluoroquinolone is preferred for Pseudomonas cover, since contact lens use raises the risk of </w:t>
      </w:r>
      <w:r>
        <w:rPr>
          <w:b w:val="0"/>
          <w:i/>
          <w:sz w:val="20"/>
        </w:rPr>
        <w:t>Pseudomonas aeruginosa</w:t>
      </w:r>
      <w:r>
        <w:rPr>
          <w:b w:val="0"/>
          <w:i w:val="0"/>
          <w:sz w:val="20"/>
        </w:rPr>
        <w:t>, a gram-negative rod. Fluoroquinolones are also preferred for corneal ulcers for the same reason.</w:t>
      </w:r>
    </w:p>
    <w:p>
      <w:pPr>
        <w:pStyle w:val="ListBullet"/>
        <w:spacing w:after="40"/>
      </w:pPr>
      <w:r>
        <w:rPr>
          <w:b/>
          <w:i w:val="0"/>
          <w:sz w:val="20"/>
        </w:rPr>
        <w:t>Aminoglycoside mechanism.</w:t>
      </w:r>
      <w:r>
        <w:rPr>
          <w:b w:val="0"/>
          <w:i w:val="0"/>
          <w:sz w:val="20"/>
        </w:rPr>
        <w:t xml:space="preserve"> Aminoglycosides such as gentamicin bind the 30S subunit to interfere with protein synthesis. Their ocular risk is corneal ulceration and reactive keratoconjunctivitis after several days.</w:t>
      </w:r>
    </w:p>
    <w:p>
      <w:pPr>
        <w:pStyle w:val="ListBullet"/>
        <w:spacing w:after="40"/>
      </w:pPr>
      <w:r>
        <w:rPr>
          <w:b/>
          <w:i w:val="0"/>
          <w:sz w:val="20"/>
        </w:rPr>
        <w:t>Fluoroquinolone mechanism.</w:t>
      </w:r>
      <w:r>
        <w:rPr>
          <w:b w:val="0"/>
          <w:i w:val="0"/>
          <w:sz w:val="20"/>
        </w:rPr>
        <w:t xml:space="preserve"> Fluoroquinolones such as moxifloxacin inhibit DNA gyrase and topoisomerase IV, so supercoiled DNA cannot relax and the double strand breaks.</w:t>
      </w:r>
    </w:p>
    <w:p>
      <w:pPr>
        <w:pStyle w:val="ListBullet"/>
        <w:spacing w:after="40"/>
      </w:pPr>
      <w:r>
        <w:rPr>
          <w:b/>
          <w:i w:val="0"/>
          <w:sz w:val="20"/>
        </w:rPr>
        <w:t>Ophthalmic antibiotic for corneal ulcers.</w:t>
      </w:r>
      <w:r>
        <w:rPr>
          <w:b w:val="0"/>
          <w:i w:val="0"/>
          <w:sz w:val="20"/>
        </w:rPr>
        <w:t xml:space="preserve"> Fluoroquinolones such as moxifloxacin are preferred for corneal ulcers or suspected Pseudomonas aeruginosa, though they are expensive and resistance is emerging.</w:t>
      </w:r>
    </w:p>
    <w:p>
      <w:pPr>
        <w:pStyle w:val="ListBullet"/>
        <w:spacing w:after="40"/>
      </w:pPr>
      <w:r>
        <w:rPr>
          <w:b/>
          <w:i w:val="0"/>
          <w:sz w:val="20"/>
        </w:rPr>
        <w:t>Aminoglycoside-specific ocular risk.</w:t>
      </w:r>
      <w:r>
        <w:rPr>
          <w:b w:val="0"/>
          <w:i w:val="0"/>
          <w:sz w:val="20"/>
        </w:rPr>
        <w:t xml:space="preserve"> Aminoglycosides such as tobramycin carry a risk of corneal ulceration and reactive keratoconjunctivitis after several days of use.</w:t>
      </w:r>
    </w:p>
    <w:p>
      <w:pPr>
        <w:pStyle w:val="ListBullet"/>
        <w:spacing w:after="40"/>
      </w:pPr>
      <w:r>
        <w:rPr>
          <w:b/>
          <w:i w:val="0"/>
          <w:sz w:val="20"/>
        </w:rPr>
        <w:t>Fluoroquinolone taste.</w:t>
      </w:r>
      <w:r>
        <w:rPr>
          <w:b w:val="0"/>
          <w:i w:val="0"/>
          <w:sz w:val="20"/>
        </w:rPr>
        <w:t xml:space="preserve"> Fluoroquinolones such as levofloxacin can cause an unpleasant taste after instillation, reflecting nasolacrimal drainage carrying drug to the throat.</w:t>
      </w:r>
    </w:p>
    <w:p>
      <w:pPr>
        <w:pStyle w:val="ListBullet"/>
        <w:spacing w:after="40"/>
      </w:pPr>
      <w:r>
        <w:rPr>
          <w:b/>
          <w:i w:val="0"/>
          <w:sz w:val="20"/>
        </w:rPr>
        <w:t>Fluoroquinolone for contact lens wearers.</w:t>
      </w:r>
      <w:r>
        <w:rPr>
          <w:b w:val="0"/>
          <w:i w:val="0"/>
          <w:sz w:val="20"/>
        </w:rPr>
        <w:t xml:space="preserve"> A fluoroquinolone is chosen for purulent conjunctivitis in a contact lens wearer once keratitis is excluded, because lens wearers are at high risk for Pseudomonas. The same class is preferred for corneal ulcers.</w:t>
      </w:r>
    </w:p>
    <w:p>
      <w:pPr>
        <w:pStyle w:val="ListBullet"/>
        <w:spacing w:after="40"/>
      </w:pPr>
      <w:r>
        <w:rPr>
          <w:b/>
          <w:i w:val="0"/>
          <w:sz w:val="20"/>
        </w:rPr>
        <w:t>Macrolide mechanism.</w:t>
      </w:r>
      <w:r>
        <w:rPr>
          <w:b w:val="0"/>
          <w:i w:val="0"/>
          <w:sz w:val="20"/>
        </w:rPr>
        <w:t xml:space="preserve"> Erythromycin ointment and azithromycin solution act by inhibition of protein synthesis at the 50S ribosomal subunit, blocking transpeptidation so RNA-dependent protein synthesis stops.</w:t>
      </w:r>
    </w:p>
    <w:p>
      <w:pPr>
        <w:pStyle w:val="ListBullet"/>
        <w:spacing w:after="40"/>
      </w:pPr>
      <w:r>
        <w:rPr>
          <w:b/>
          <w:i w:val="0"/>
          <w:sz w:val="20"/>
        </w:rPr>
        <w:t>Goal in infectious conjunctivitis.</w:t>
      </w:r>
      <w:r>
        <w:rPr>
          <w:b w:val="0"/>
          <w:i w:val="0"/>
          <w:sz w:val="20"/>
        </w:rPr>
        <w:t xml:space="preserve"> Treatment aims to eradicate the infection and prevent long-term complications.</w:t>
      </w:r>
    </w:p>
    <w:p>
      <w:pPr>
        <w:pStyle w:val="ListBullet"/>
        <w:spacing w:after="40"/>
      </w:pPr>
      <w:r>
        <w:rPr>
          <w:b/>
          <w:i w:val="0"/>
          <w:sz w:val="20"/>
        </w:rPr>
        <w:t>Topical ocular antibiotics.</w:t>
      </w:r>
      <w:r>
        <w:rPr>
          <w:b w:val="0"/>
          <w:i w:val="0"/>
          <w:sz w:val="20"/>
        </w:rPr>
        <w:t xml:space="preserve"> They give very high local concentrations at the eye that an intravenous drug cannot, but more involved infection still needs systemic therapy.</w:t>
      </w:r>
    </w:p>
    <w:p>
      <w:pPr>
        <w:pStyle w:val="ListBullet"/>
        <w:spacing w:after="40"/>
      </w:pPr>
      <w:r>
        <w:rPr>
          <w:b/>
          <w:i w:val="0"/>
          <w:sz w:val="20"/>
        </w:rPr>
        <w:t>Azithromycin versus erythromycin eye preparations.</w:t>
      </w:r>
      <w:r>
        <w:rPr>
          <w:b w:val="0"/>
          <w:i w:val="0"/>
          <w:sz w:val="20"/>
        </w:rPr>
        <w:t xml:space="preserve"> Azithromycin solution is dosed twice daily, against four or more times a day for erythromycin ointment, which helps compliance, but azithromycin is considerably more expensive, so erythromycin remains the common choice.</w:t>
      </w:r>
    </w:p>
    <w:p>
      <w:pPr>
        <w:pStyle w:val="ListBullet"/>
        <w:spacing w:after="40"/>
      </w:pPr>
      <w:r>
        <w:rPr>
          <w:b/>
          <w:i w:val="0"/>
          <w:sz w:val="20"/>
        </w:rPr>
        <w:t>Ophthalmia neonatorum prophylaxis.</w:t>
      </w:r>
      <w:r>
        <w:rPr>
          <w:b w:val="0"/>
          <w:i w:val="0"/>
          <w:sz w:val="20"/>
        </w:rPr>
        <w:t xml:space="preserve"> Erythromycin, as the 0.5% ointment, is the ophthalmic antibiotic used for newborn prophylaxis and for superficial conjunctival or corneal infection.</w:t>
      </w:r>
    </w:p>
    <w:p>
      <w:pPr>
        <w:pStyle w:val="ListBullet"/>
        <w:spacing w:after="40"/>
      </w:pPr>
      <w:r>
        <w:rPr>
          <w:b/>
          <w:i w:val="0"/>
          <w:sz w:val="20"/>
        </w:rPr>
        <w:t>Azithromycin ophthalmic use.</w:t>
      </w:r>
      <w:r>
        <w:rPr>
          <w:b w:val="0"/>
          <w:i w:val="0"/>
          <w:sz w:val="20"/>
        </w:rPr>
        <w:t xml:space="preserve"> Azithromycin is considerably more expensive and given less frequently (twice a day against four or more times for erythromycin), but the cost keeps it from being used as often clinically.</w:t>
      </w:r>
    </w:p>
    <w:p>
      <w:pPr>
        <w:pStyle w:val="ListBullet"/>
        <w:spacing w:after="40"/>
      </w:pPr>
      <w:r>
        <w:rPr>
          <w:b/>
          <w:i w:val="0"/>
          <w:sz w:val="20"/>
        </w:rPr>
        <w:t>Newborn ophthalmia neonatorum prophylaxis.</w:t>
      </w:r>
      <w:r>
        <w:rPr>
          <w:b w:val="0"/>
          <w:i w:val="0"/>
          <w:sz w:val="20"/>
        </w:rPr>
        <w:t xml:space="preserve"> Erythromycin ointment is the named agent for prophylaxis against ophthalmia neonatorum, and it is inexpensive.</w:t>
      </w:r>
    </w:p>
    <w:p>
      <w:pPr>
        <w:pStyle w:val="ListBullet"/>
        <w:spacing w:after="40"/>
      </w:pPr>
      <w:r>
        <w:rPr>
          <w:b/>
          <w:i w:val="0"/>
          <w:sz w:val="20"/>
        </w:rPr>
        <w:t>Fluoroquinolones for corneal ulcers and Pseudomonas.</w:t>
      </w:r>
      <w:r>
        <w:rPr>
          <w:b w:val="0"/>
          <w:i w:val="0"/>
          <w:sz w:val="20"/>
        </w:rPr>
        <w:t xml:space="preserve"> Fluoroquinolones, such as levofloxacin, are the preferred ophthalmic antibiotic class for corneal ulcers and suspected Pseudomonas aeruginosa; they are expensive and resistance is emerging.</w:t>
      </w:r>
    </w:p>
    <w:p>
      <w:pPr>
        <w:pStyle w:val="ListBullet"/>
        <w:spacing w:after="40"/>
      </w:pPr>
      <w:r>
        <w:rPr>
          <w:b/>
          <w:i w:val="0"/>
          <w:sz w:val="20"/>
        </w:rPr>
        <w:t>Ciprofloxacin in a contact lens wearer.</w:t>
      </w:r>
      <w:r>
        <w:rPr>
          <w:b w:val="0"/>
          <w:i w:val="0"/>
          <w:sz w:val="20"/>
        </w:rPr>
        <w:t xml:space="preserve"> Ciprofloxacin, a fluoroquinolone, covers Pseudomonas aeruginosa, the gram-negative rod that contact lens wearers are at risk from, so it is the drug preferred for bacterial conjunctivitis once keratitis has been ruled out; fluoroquinolones are also preferred for corneal ulcers.</w:t>
      </w:r>
    </w:p>
    <w:p>
      <w:pPr>
        <w:pStyle w:val="Heading2"/>
        <w:spacing w:before="200" w:after="100"/>
      </w:pPr>
      <w:r>
        <w:rPr>
          <w:rFonts w:ascii="Georgia" w:hAnsi="Georgia"/>
          <w:color w:val="6B3524"/>
        </w:rPr>
        <w:t>1.3 · Objectives 1–3 — Antivirals and antifungals</w:t>
      </w:r>
    </w:p>
    <w:p>
      <w:pPr>
        <w:spacing w:after="120"/>
      </w:pPr>
      <w:r>
        <w:rPr>
          <w:b w:val="0"/>
          <w:i w:val="0"/>
        </w:rPr>
        <w:t xml:space="preserve">Ocular antivirals exist for </w:t>
      </w:r>
      <w:r>
        <w:rPr>
          <w:b/>
          <w:i w:val="0"/>
        </w:rPr>
        <w:t>viral keratitis, herpes zoster ophthalmicus and retinitis</w:t>
      </w:r>
      <w:r>
        <w:rPr>
          <w:b w:val="0"/>
          <w:i w:val="0"/>
        </w:rPr>
        <w:t xml:space="preserve">. They do </w:t>
      </w:r>
      <w:r>
        <w:rPr>
          <w:b/>
          <w:i w:val="0"/>
        </w:rPr>
        <w:t>not</w:t>
      </w:r>
      <w:r>
        <w:rPr>
          <w:b w:val="0"/>
          <w:i w:val="0"/>
        </w:rPr>
        <w:t xml:space="preserve"> exist for adenoviral conjunctivitis, which is self-limited and treated with symptomatic relief — a common exam trap because the patient in front of you looks like they need something.</w:t>
      </w:r>
    </w:p>
    <w:p>
      <w:pPr>
        <w:spacing w:after="120"/>
      </w:pPr>
      <w:r>
        <w:rPr>
          <w:b w:val="0"/>
          <w:i w:val="0"/>
        </w:rPr>
        <w:t xml:space="preserve">Topically, </w:t>
      </w:r>
      <w:r>
        <w:rPr>
          <w:b/>
          <w:i w:val="0"/>
        </w:rPr>
        <w:t>trifluridine</w:t>
      </w:r>
      <w:r>
        <w:rPr>
          <w:b w:val="0"/>
          <w:i w:val="0"/>
        </w:rPr>
        <w:t xml:space="preserve"> inhibits thymidylate synthetase and is incorporated into viral DNA in place of thymidine, for herpes simplex keratoconjunctivitis. </w:t>
      </w:r>
      <w:r>
        <w:rPr>
          <w:b/>
          <w:i w:val="0"/>
        </w:rPr>
        <w:t>Ganciclovir</w:t>
      </w:r>
      <w:r>
        <w:rPr>
          <w:b w:val="0"/>
          <w:i w:val="0"/>
        </w:rPr>
        <w:t xml:space="preserve"> competitively inhibits deoxyguanosine triphosphate binding to DNA polymerase, for herpetic keratitis and — by intravitreal injection — cytomegalovirus retinitis. Systemically, </w:t>
      </w:r>
      <w:r>
        <w:rPr>
          <w:b/>
          <w:i w:val="0"/>
        </w:rPr>
        <w:t>acyclovir, valacyclovir and famciclovir</w:t>
      </w:r>
      <w:r>
        <w:rPr>
          <w:b w:val="0"/>
          <w:i w:val="0"/>
        </w:rPr>
        <w:t xml:space="preserve"> are the oral agents for zoster ophthalmicus and simplex keratitis, and </w:t>
      </w:r>
      <w:r>
        <w:rPr>
          <w:b/>
          <w:i w:val="0"/>
        </w:rPr>
        <w:t>foscarnet</w:t>
      </w:r>
      <w:r>
        <w:rPr>
          <w:b w:val="0"/>
          <w:i w:val="0"/>
        </w:rPr>
        <w:t xml:space="preserve"> is intravenous for cytomegalovirus retinitis.</w:t>
      </w:r>
    </w:p>
    <w:p>
      <w:pPr>
        <w:spacing w:after="120"/>
      </w:pPr>
      <w:r>
        <w:rPr>
          <w:b/>
          <w:i w:val="0"/>
        </w:rPr>
        <w:t>Natamycin is the only commercially available ophthalmic antifungal</w:t>
      </w:r>
      <w:r>
        <w:rPr>
          <w:b w:val="0"/>
          <w:i w:val="0"/>
        </w:rPr>
        <w:t xml:space="preserve"> — that is the fact to hold, because everything else on the table is given by another route or compounded. It is a </w:t>
      </w:r>
      <w:r>
        <w:rPr>
          <w:b/>
          <w:i w:val="0"/>
        </w:rPr>
        <w:t>polyene</w:t>
      </w:r>
      <w:r>
        <w:rPr>
          <w:b w:val="0"/>
          <w:i w:val="0"/>
        </w:rPr>
        <w:t xml:space="preserve">: it binds sterol and increases fungal membrane permeability, covering </w:t>
      </w:r>
      <w:r>
        <w:rPr>
          <w:b w:val="0"/>
          <w:i/>
        </w:rPr>
        <w:t>Aspergillus, Candida, Cephalosporium, Fusarium</w:t>
      </w:r>
      <w:r>
        <w:rPr>
          <w:b w:val="0"/>
          <w:i w:val="0"/>
        </w:rPr>
        <w:t xml:space="preserve"> and </w:t>
      </w:r>
      <w:r>
        <w:rPr>
          <w:b w:val="0"/>
          <w:i/>
        </w:rPr>
        <w:t>Penicillium</w:t>
      </w:r>
      <w:r>
        <w:rPr>
          <w:b w:val="0"/>
          <w:i w:val="0"/>
        </w:rPr>
        <w:t xml:space="preserve">. </w:t>
      </w:r>
      <w:r>
        <w:rPr>
          <w:b/>
          <w:i w:val="0"/>
        </w:rPr>
        <w:t>Amphotericin B</w:t>
      </w:r>
      <w:r>
        <w:rPr>
          <w:b w:val="0"/>
          <w:i w:val="0"/>
        </w:rPr>
        <w:t xml:space="preserve"> is the agent with every route — topical, subconjunctival, intravitreal and intravenous — which is what makes it usable for endophthalmitis.</w:t>
      </w:r>
    </w:p>
    <w:p>
      <w:pPr>
        <w:spacing w:after="120"/>
      </w:pPr>
      <w:r>
        <w:rPr>
          <w:b/>
          <w:i w:val="0"/>
        </w:rPr>
        <w:t>The risk factor you can create.</w:t>
      </w:r>
      <w:r>
        <w:rPr>
          <w:b w:val="0"/>
          <w:i w:val="0"/>
        </w:rPr>
        <w:t xml:space="preserve"> Fungal ocular infection is rising as more patients are immunocompromised. The risk list is </w:t>
      </w:r>
      <w:r>
        <w:rPr>
          <w:b/>
          <w:i w:val="0"/>
        </w:rPr>
        <w:t>trauma, chronic ocular surface disease, contact lens wear and immunosuppression</w:t>
      </w:r>
      <w:r>
        <w:rPr>
          <w:b w:val="0"/>
          <w:i w:val="0"/>
        </w:rPr>
        <w:t xml:space="preserve"> — and </w:t>
      </w:r>
      <w:r>
        <w:rPr>
          <w:b w:val="0"/>
          <w:i w:val="0"/>
          <w:highlight w:val="yellow"/>
        </w:rPr>
        <w:t>topical steroid use is named explicitly as immunosuppression</w:t>
      </w:r>
      <w:r>
        <w:rPr>
          <w:b w:val="0"/>
          <w:i w:val="0"/>
        </w:rPr>
        <w:t>. It is the only item on that list a prescription can introduce.</w:t>
      </w:r>
    </w:p>
    <w:p>
      <w:pPr>
        <w:spacing w:after="120"/>
      </w:pPr>
      <w:r>
        <w:rPr>
          <w:b w:val="0"/>
          <w:i w:val="0"/>
        </w:rPr>
        <w:t>Also tested</w:t>
      </w:r>
    </w:p>
    <w:p>
      <w:pPr>
        <w:pStyle w:val="ListBullet"/>
        <w:spacing w:after="40"/>
      </w:pPr>
      <w:r>
        <w:rPr>
          <w:b/>
          <w:i w:val="0"/>
          <w:sz w:val="20"/>
        </w:rPr>
        <w:t>Adenoviral conjunctivitis.</w:t>
      </w:r>
      <w:r>
        <w:rPr>
          <w:b w:val="0"/>
          <w:i w:val="0"/>
          <w:sz w:val="20"/>
        </w:rPr>
        <w:t xml:space="preserve"> No antiviral is indicated; it runs its own course and irritation is relieved. The ocular antivirals exist for keratitis, herpes zoster ophthalmicus and retinitis.</w:t>
      </w:r>
    </w:p>
    <w:p>
      <w:pPr>
        <w:pStyle w:val="ListBullet"/>
        <w:spacing w:after="40"/>
      </w:pPr>
      <w:r>
        <w:rPr>
          <w:b/>
          <w:i w:val="0"/>
          <w:sz w:val="20"/>
        </w:rPr>
        <w:t>Risk factors for ophthalmic fungal infection.</w:t>
      </w:r>
      <w:r>
        <w:rPr>
          <w:b w:val="0"/>
          <w:i w:val="0"/>
          <w:sz w:val="20"/>
        </w:rPr>
        <w:t xml:space="preserve"> These are trauma, chronic ocular surface disease, contact lens wear and immunosuppression; topical corticosteroid use counts as immunosuppression and is the one a clinician can introduce by prescribing.</w:t>
      </w:r>
    </w:p>
    <w:p>
      <w:pPr>
        <w:pStyle w:val="ListBullet"/>
        <w:spacing w:after="40"/>
      </w:pPr>
      <w:r>
        <w:rPr>
          <w:b/>
          <w:i w:val="0"/>
          <w:sz w:val="20"/>
        </w:rPr>
        <w:t>Trifluridine adverse effect.</w:t>
      </w:r>
      <w:r>
        <w:rPr>
          <w:b w:val="0"/>
          <w:i w:val="0"/>
          <w:sz w:val="20"/>
        </w:rPr>
        <w:t xml:space="preserve"> Beyond ocular irritation, trifluridine specifically causes punctate keratopathy.</w:t>
      </w:r>
    </w:p>
    <w:p>
      <w:pPr>
        <w:pStyle w:val="ListBullet"/>
        <w:spacing w:after="40"/>
      </w:pPr>
      <w:r>
        <w:rPr>
          <w:b/>
          <w:i w:val="0"/>
          <w:sz w:val="20"/>
        </w:rPr>
        <w:t>Adenoviral conjunctivitis.</w:t>
      </w:r>
      <w:r>
        <w:rPr>
          <w:b w:val="0"/>
          <w:i w:val="0"/>
          <w:sz w:val="20"/>
        </w:rPr>
        <w:t xml:space="preserve"> There is no antiviral for it; it runs a self-limited course and is treated with symptomatic relief of irritation.</w:t>
      </w:r>
    </w:p>
    <w:p>
      <w:pPr>
        <w:pStyle w:val="ListBullet"/>
        <w:spacing w:after="40"/>
      </w:pPr>
      <w:r>
        <w:rPr>
          <w:b/>
          <w:i w:val="0"/>
          <w:sz w:val="20"/>
        </w:rPr>
        <w:t>Fungal corneal infiltrate risk.</w:t>
      </w:r>
      <w:r>
        <w:rPr>
          <w:b w:val="0"/>
          <w:i w:val="0"/>
          <w:sz w:val="20"/>
        </w:rPr>
        <w:t xml:space="preserve"> Long-term topical steroid use most raises the risk; immunosuppression, including topical steroids, sits alongside trauma, chronic surface disease and contact lens wear.</w:t>
      </w:r>
    </w:p>
    <w:p>
      <w:pPr>
        <w:pStyle w:val="ListBullet"/>
        <w:spacing w:after="40"/>
      </w:pPr>
      <w:r>
        <w:rPr>
          <w:b/>
          <w:i w:val="0"/>
          <w:sz w:val="20"/>
        </w:rPr>
        <w:t>Adenoviral conjunctivitis.</w:t>
      </w:r>
      <w:r>
        <w:rPr>
          <w:b w:val="0"/>
          <w:i w:val="0"/>
          <w:sz w:val="20"/>
        </w:rPr>
        <w:t xml:space="preserve"> Adenoviral conjunctivitis runs a self-limited course and is treated with symptomatic relief of irritation; there is no antiviral for it, so supportive care is appropriate.</w:t>
      </w:r>
    </w:p>
    <w:p>
      <w:pPr>
        <w:pStyle w:val="Heading2"/>
        <w:spacing w:before="200" w:after="100"/>
      </w:pPr>
      <w:r>
        <w:rPr>
          <w:rFonts w:ascii="Georgia" w:hAnsi="Georgia"/>
          <w:color w:val="6B3524"/>
        </w:rPr>
        <w:t>1.4 · Objectives 1–3 — Allergy and the red eye</w:t>
      </w:r>
    </w:p>
    <w:p>
      <w:pPr>
        <w:spacing w:after="120"/>
      </w:pPr>
      <w:r>
        <w:rPr>
          <w:b w:val="0"/>
          <w:i w:val="0"/>
        </w:rPr>
        <w:t xml:space="preserve">Mast cells and basophils are the principal target cells. </w:t>
      </w:r>
      <w:r>
        <w:rPr>
          <w:b/>
          <w:i w:val="0"/>
        </w:rPr>
        <w:t>Immunoglobulin E binds Fc receptors</w:t>
      </w:r>
      <w:r>
        <w:rPr>
          <w:b w:val="0"/>
          <w:i w:val="0"/>
        </w:rPr>
        <w:t xml:space="preserve">, tyrosine kinases activate within </w:t>
      </w:r>
      <w:r>
        <w:rPr>
          <w:b/>
          <w:i w:val="0"/>
        </w:rPr>
        <w:t>5 to 15 seconds</w:t>
      </w:r>
      <w:r>
        <w:rPr>
          <w:b w:val="0"/>
          <w:i w:val="0"/>
        </w:rPr>
        <w:t xml:space="preserve">, and </w:t>
      </w:r>
      <w:r>
        <w:rPr>
          <w:b/>
          <w:i w:val="0"/>
        </w:rPr>
        <w:t>histamine, platelet-activating factor and leukotrienes</w:t>
      </w:r>
      <w:r>
        <w:rPr>
          <w:b w:val="0"/>
          <w:i w:val="0"/>
        </w:rPr>
        <w:t xml:space="preserve"> are released — producing vasodilation, swelling, redness and itch. Every drug below is aimed at one point in that sequence.</w:t>
      </w:r>
    </w:p>
    <w:p>
      <w:pPr>
        <w:spacing w:after="120"/>
      </w:pPr>
      <w:r>
        <w:rPr>
          <w:b/>
          <w:i w:val="0"/>
        </w:rPr>
        <w:t>H1 agents are not really antagonists.</w:t>
      </w:r>
      <w:r>
        <w:rPr>
          <w:b w:val="0"/>
          <w:i w:val="0"/>
        </w:rPr>
        <w:t xml:space="preserve"> They are </w:t>
      </w:r>
      <w:r>
        <w:rPr>
          <w:b/>
          <w:i w:val="0"/>
        </w:rPr>
        <w:t>inverse agonists</w:t>
      </w:r>
      <w:r>
        <w:rPr>
          <w:b w:val="0"/>
          <w:i w:val="0"/>
        </w:rPr>
        <w:t xml:space="preserve"> — they drive the receptor into an inactive state rather than merely occupying it — while remaining competitive with histamine. They decrease capillary dilation, itch and swelling. Onset is </w:t>
      </w:r>
      <w:r>
        <w:rPr>
          <w:b/>
          <w:i w:val="0"/>
        </w:rPr>
        <w:t>within minutes</w:t>
      </w:r>
      <w:r>
        <w:rPr>
          <w:b w:val="0"/>
          <w:i w:val="0"/>
        </w:rPr>
        <w:t xml:space="preserve">, but allow </w:t>
      </w:r>
      <w:r>
        <w:rPr>
          <w:b/>
          <w:i w:val="0"/>
        </w:rPr>
        <w:t>two weeks</w:t>
      </w:r>
      <w:r>
        <w:rPr>
          <w:b w:val="0"/>
          <w:i w:val="0"/>
        </w:rPr>
        <w:t xml:space="preserve"> to judge full efficacy. They are typically preferred over mast cell stabilizers, and can worsen ocular dryness.</w:t>
      </w:r>
    </w:p>
    <w:p>
      <w:pPr>
        <w:spacing w:after="120"/>
      </w:pPr>
      <w:r>
        <w:rPr>
          <w:b/>
          <w:i w:val="0"/>
        </w:rPr>
        <w:t>Mast cell stabilizers</w:t>
      </w:r>
      <w:r>
        <w:rPr>
          <w:b w:val="0"/>
          <w:i w:val="0"/>
        </w:rPr>
        <w:t xml:space="preserve"> — cromolyn, lodoxamide, nedocromil — inhibit degranulation, limiting release of histamine, tryptase and prostaglandin D2, and dampen basophils, eosinophils and neutrophils. They take </w:t>
      </w:r>
      <w:r>
        <w:rPr>
          <w:b/>
          <w:i w:val="0"/>
        </w:rPr>
        <w:t>5 to 14 days</w:t>
      </w:r>
      <w:r>
        <w:rPr>
          <w:b w:val="0"/>
          <w:i w:val="0"/>
        </w:rPr>
        <w:t xml:space="preserve"> for full effect and are </w:t>
      </w:r>
      <w:r>
        <w:rPr>
          <w:b/>
          <w:i w:val="0"/>
        </w:rPr>
        <w:t>not useful for acute symptoms</w:t>
      </w:r>
      <w:r>
        <w:rPr>
          <w:b w:val="0"/>
          <w:i w:val="0"/>
        </w:rPr>
        <w:t xml:space="preserve">, which is the whole distinction from the antihistamines. Often four times daily. Their place is </w:t>
      </w:r>
      <w:r>
        <w:rPr>
          <w:b/>
          <w:i w:val="0"/>
        </w:rPr>
        <w:t>predictable seasonal allergy in someone who does not tolerate the alternatives</w:t>
      </w:r>
      <w:r>
        <w:rPr>
          <w:b w:val="0"/>
          <w:i w:val="0"/>
        </w:rPr>
        <w:t>.</w:t>
      </w:r>
    </w:p>
    <w:p>
      <w:pPr>
        <w:spacing w:after="120"/>
      </w:pPr>
      <w:r>
        <w:rPr>
          <w:b/>
          <w:i w:val="0"/>
        </w:rPr>
        <w:t>The imidazoline question.</w:t>
      </w:r>
      <w:r>
        <w:rPr>
          <w:b w:val="0"/>
          <w:i w:val="0"/>
        </w:rPr>
        <w:t xml:space="preserve"> The vasoconstrictors activate </w:t>
      </w:r>
      <w:r>
        <w:rPr>
          <w:b/>
          <w:i w:val="0"/>
        </w:rPr>
        <w:t>postjunctional alpha-adrenergic receptors</w:t>
      </w:r>
      <w:r>
        <w:rPr>
          <w:b w:val="0"/>
          <w:i w:val="0"/>
        </w:rPr>
        <w:t xml:space="preserve"> on conjunctival vessels, reducing edema and redness. But their receptor behavior splits by route: </w:t>
      </w:r>
      <w:r>
        <w:rPr>
          <w:b w:val="0"/>
          <w:i w:val="0"/>
          <w:highlight w:val="yellow"/>
        </w:rPr>
        <w:t>locally they act on alpha-1; systemically they target alpha-2</w:t>
      </w:r>
      <w:r>
        <w:rPr>
          <w:b w:val="0"/>
          <w:i w:val="0"/>
        </w:rPr>
        <w:t>. That is why an accidental ingestion in a toddler causes central nervous system depression, bradycardia and apnea rather than the hypertension you might expect — and it is the same central alpha-2 effect that contraindicates brimonidine under two years.</w:t>
      </w:r>
    </w:p>
    <w:p>
      <w:pPr>
        <w:spacing w:after="120"/>
      </w:pPr>
      <w:r>
        <w:rPr>
          <w:b w:val="0"/>
          <w:i w:val="0"/>
        </w:rPr>
        <w:t>Also tested</w:t>
      </w:r>
    </w:p>
    <w:p>
      <w:pPr>
        <w:pStyle w:val="ListBullet"/>
        <w:spacing w:after="40"/>
      </w:pPr>
      <w:r>
        <w:rPr>
          <w:b/>
          <w:i w:val="0"/>
          <w:sz w:val="20"/>
        </w:rPr>
        <w:t>Rebound hyperemia from ocular vasoconstrictors.</w:t>
      </w:r>
      <w:r>
        <w:rPr>
          <w:b w:val="0"/>
          <w:i w:val="0"/>
          <w:sz w:val="20"/>
        </w:rPr>
        <w:t xml:space="preserve"> Alpha-adrenergic agonist drops constrict vessels to reduce redness and conjunctival edema; constant activation downregulates alpha-1 receptors, so on stopping, vessels dilate because fewer receptors remain for endogenous noradrenaline and adrenaline.</w:t>
      </w:r>
    </w:p>
    <w:p>
      <w:pPr>
        <w:pStyle w:val="ListBullet"/>
        <w:spacing w:after="40"/>
      </w:pPr>
      <w:r>
        <w:rPr>
          <w:b/>
          <w:i w:val="0"/>
          <w:sz w:val="20"/>
        </w:rPr>
        <w:t>Over-the-counter ocular vasoconstrictors.</w:t>
      </w:r>
      <w:r>
        <w:rPr>
          <w:b w:val="0"/>
          <w:i w:val="0"/>
          <w:sz w:val="20"/>
        </w:rPr>
        <w:t xml:space="preserve"> Use them for under two weeks because of rebound hyperemia, and see a provider if no better in 72 hours, since a red eye that is not improving may be more serious than allergy.</w:t>
      </w:r>
    </w:p>
    <w:p>
      <w:pPr>
        <w:pStyle w:val="ListBullet"/>
        <w:spacing w:after="40"/>
      </w:pPr>
      <w:r>
        <w:rPr>
          <w:b/>
          <w:i w:val="0"/>
          <w:sz w:val="20"/>
        </w:rPr>
        <w:t>Vasoconstrictor allergy drops.</w:t>
      </w:r>
      <w:r>
        <w:rPr>
          <w:b w:val="0"/>
          <w:i w:val="0"/>
          <w:sz w:val="20"/>
        </w:rPr>
        <w:t xml:space="preserve"> The vasoconstrictor activates alpha-adrenergic receptors on vessels, reducing conjunctival edema and redness. It treats the appearance rather than the allergy, so it is paired with an antihistamine in products such as Naphcon-A.</w:t>
      </w:r>
    </w:p>
    <w:p>
      <w:pPr>
        <w:pStyle w:val="ListBullet"/>
        <w:spacing w:after="40"/>
      </w:pPr>
      <w:r>
        <w:rPr>
          <w:b/>
          <w:i w:val="0"/>
          <w:sz w:val="20"/>
        </w:rPr>
        <w:t>Over-the-counter ocular antihistamine.</w:t>
      </w:r>
      <w:r>
        <w:rPr>
          <w:b w:val="0"/>
          <w:i w:val="0"/>
          <w:sz w:val="20"/>
        </w:rPr>
        <w:t xml:space="preserve"> Ketotifen is an ocular antihistamine available over the counter.</w:t>
      </w:r>
    </w:p>
    <w:p>
      <w:pPr>
        <w:pStyle w:val="ListBullet"/>
        <w:spacing w:after="40"/>
      </w:pPr>
      <w:r>
        <w:rPr>
          <w:b/>
          <w:i w:val="0"/>
          <w:sz w:val="20"/>
        </w:rPr>
        <w:t>Rebound hyperemia.</w:t>
      </w:r>
      <w:r>
        <w:rPr>
          <w:b w:val="0"/>
          <w:i w:val="0"/>
          <w:sz w:val="20"/>
        </w:rPr>
        <w:t xml:space="preserve"> Naphazoline, a topical vasoconstrictor eye drop, causes rebound hyperemia after discontinuation if used for too long. Nasal decongestant sprays share the risk.</w:t>
      </w:r>
    </w:p>
    <w:p>
      <w:pPr>
        <w:pStyle w:val="ListBullet"/>
        <w:spacing w:after="40"/>
      </w:pPr>
      <w:r>
        <w:rPr>
          <w:b/>
          <w:i w:val="0"/>
          <w:sz w:val="20"/>
        </w:rPr>
        <w:t>Vasoconstrictor eye drop duration.</w:t>
      </w:r>
      <w:r>
        <w:rPr>
          <w:b w:val="0"/>
          <w:i w:val="0"/>
          <w:sz w:val="20"/>
        </w:rPr>
        <w:t xml:space="preserve"> Use is for the short term, less than two weeks. Prolonged use leads to rebound hyperemia after the drops are stopped.</w:t>
      </w:r>
    </w:p>
    <w:p>
      <w:pPr>
        <w:pStyle w:val="ListBullet"/>
        <w:spacing w:after="40"/>
      </w:pPr>
      <w:r>
        <w:rPr>
          <w:b/>
          <w:i w:val="0"/>
          <w:sz w:val="20"/>
        </w:rPr>
        <w:t>Over-the-counter ophthalmic antihistamine.</w:t>
      </w:r>
      <w:r>
        <w:rPr>
          <w:b w:val="0"/>
          <w:i w:val="0"/>
          <w:sz w:val="20"/>
        </w:rPr>
        <w:t xml:space="preserve"> Ketotifen is the over-the-counter agent among the ophthalmic antihistamines.</w:t>
      </w:r>
    </w:p>
    <w:p>
      <w:pPr>
        <w:pStyle w:val="ListBullet"/>
        <w:spacing w:after="40"/>
      </w:pPr>
      <w:r>
        <w:rPr>
          <w:b/>
          <w:i w:val="0"/>
          <w:sz w:val="20"/>
        </w:rPr>
        <w:t>Ophthalmic antihistamines.</w:t>
      </w:r>
      <w:r>
        <w:rPr>
          <w:b w:val="0"/>
          <w:i w:val="0"/>
          <w:sz w:val="20"/>
        </w:rPr>
        <w:t xml:space="preserve"> Agents such as olopatadine have an onset within minutes, are dosed once or twice daily, and are typically preferred over mast cell stabilizers for ocular allergy.</w:t>
      </w:r>
    </w:p>
    <w:p>
      <w:pPr>
        <w:pStyle w:val="ListBullet"/>
        <w:spacing w:after="40"/>
      </w:pPr>
      <w:r>
        <w:rPr>
          <w:b/>
          <w:i w:val="0"/>
          <w:sz w:val="20"/>
        </w:rPr>
        <w:t>Antihistamine onset.</w:t>
      </w:r>
      <w:r>
        <w:rPr>
          <w:b w:val="0"/>
          <w:i w:val="0"/>
          <w:sz w:val="20"/>
        </w:rPr>
        <w:t xml:space="preserve"> An ophthalmic antihistamine acts within minutes, with fast onset but slower time to full efficacy. Allow two weeks to judge the full effect.</w:t>
      </w:r>
    </w:p>
    <w:p>
      <w:pPr>
        <w:pStyle w:val="ListBullet"/>
        <w:spacing w:after="40"/>
      </w:pPr>
      <w:r>
        <w:rPr>
          <w:b/>
          <w:i w:val="0"/>
          <w:sz w:val="20"/>
        </w:rPr>
        <w:t>Redness-relief drop duration.</w:t>
      </w:r>
      <w:r>
        <w:rPr>
          <w:b w:val="0"/>
          <w:i w:val="0"/>
          <w:sz w:val="20"/>
        </w:rPr>
        <w:t xml:space="preserve"> Use should be no more than two weeks. If there is no improvement within 72 hours, the patient should stop and be seen.</w:t>
      </w:r>
    </w:p>
    <w:p>
      <w:pPr>
        <w:pStyle w:val="ListBullet"/>
        <w:spacing w:after="40"/>
      </w:pPr>
      <w:r>
        <w:rPr>
          <w:b/>
          <w:i w:val="0"/>
          <w:sz w:val="20"/>
        </w:rPr>
        <w:t>No improvement with vasoconstrictor drops.</w:t>
      </w:r>
      <w:r>
        <w:rPr>
          <w:b w:val="0"/>
          <w:i w:val="0"/>
          <w:sz w:val="20"/>
        </w:rPr>
        <w:t xml:space="preserve"> No improvement within 72 hours is the trigger to stop the drop and see a provider, because something more serious may be going on.</w:t>
      </w:r>
    </w:p>
    <w:p>
      <w:pPr>
        <w:pStyle w:val="ListBullet"/>
        <w:spacing w:after="40"/>
      </w:pPr>
      <w:r>
        <w:rPr>
          <w:b/>
          <w:i w:val="0"/>
          <w:sz w:val="20"/>
        </w:rPr>
        <w:t>Rebound hyperemia counseling.</w:t>
      </w:r>
      <w:r>
        <w:rPr>
          <w:b w:val="0"/>
          <w:i w:val="0"/>
          <w:sz w:val="20"/>
        </w:rPr>
        <w:t xml:space="preserve"> Beyond about two weeks of daily redness-relief drops, stopping leaves the eye redder than it started. This is rebound hyperemia.</w:t>
      </w:r>
    </w:p>
    <w:p>
      <w:pPr>
        <w:pStyle w:val="ListBullet"/>
        <w:spacing w:after="40"/>
      </w:pPr>
      <w:r>
        <w:rPr>
          <w:b/>
          <w:i w:val="0"/>
          <w:sz w:val="20"/>
        </w:rPr>
        <w:t>Seasonal itchy, watery eyes.</w:t>
      </w:r>
      <w:r>
        <w:rPr>
          <w:b w:val="0"/>
          <w:i w:val="0"/>
          <w:sz w:val="20"/>
        </w:rPr>
        <w:t xml:space="preserve"> An ophthalmic antihistamine works within minutes and is typically preferred over mast cell stabilizers. Allow two weeks to judge full efficacy.</w:t>
      </w:r>
    </w:p>
    <w:p>
      <w:pPr>
        <w:pStyle w:val="ListBullet"/>
        <w:spacing w:after="40"/>
      </w:pPr>
      <w:r>
        <w:rPr>
          <w:b/>
          <w:i w:val="0"/>
          <w:sz w:val="20"/>
        </w:rPr>
        <w:t>Ocular H1 agents.</w:t>
      </w:r>
      <w:r>
        <w:rPr>
          <w:b w:val="0"/>
          <w:i w:val="0"/>
          <w:sz w:val="20"/>
        </w:rPr>
        <w:t xml:space="preserve"> They are not true antagonists but inverse agonists, still competing with histamine, so the effect depends on relative concentrations.</w:t>
      </w:r>
    </w:p>
    <w:p>
      <w:pPr>
        <w:pStyle w:val="ListBullet"/>
        <w:spacing w:after="40"/>
      </w:pPr>
      <w:r>
        <w:rPr>
          <w:b/>
          <w:i w:val="0"/>
          <w:sz w:val="20"/>
        </w:rPr>
        <w:t>Ocular antihistamine adverse effects.</w:t>
      </w:r>
      <w:r>
        <w:rPr>
          <w:b w:val="0"/>
          <w:i w:val="0"/>
          <w:sz w:val="20"/>
        </w:rPr>
        <w:t xml:space="preserve"> Along with irritation and headache, they cause increased ocular dryness, worth mentioning to a patient who already has dry eyes.</w:t>
      </w:r>
    </w:p>
    <w:p>
      <w:pPr>
        <w:pStyle w:val="ListBullet"/>
        <w:spacing w:after="40"/>
      </w:pPr>
      <w:r>
        <w:rPr>
          <w:b/>
          <w:i w:val="0"/>
          <w:sz w:val="20"/>
        </w:rPr>
        <w:t>Mast cell stabilizers.</w:t>
      </w:r>
      <w:r>
        <w:rPr>
          <w:b w:val="0"/>
          <w:i w:val="0"/>
          <w:sz w:val="20"/>
        </w:rPr>
        <w:t xml:space="preserve"> They are most useful in predictable seasonal allergy when the patient is intolerant of alternatives; their weaknesses are 5 to 14 days to full effect and often four times daily dosing.</w:t>
      </w:r>
    </w:p>
    <w:p>
      <w:pPr>
        <w:pStyle w:val="ListBullet"/>
        <w:spacing w:after="40"/>
      </w:pPr>
      <w:r>
        <w:rPr>
          <w:b/>
          <w:i w:val="0"/>
          <w:sz w:val="20"/>
        </w:rPr>
        <w:t>Topical ocular vasoconstrictors.</w:t>
      </w:r>
      <w:r>
        <w:rPr>
          <w:b w:val="0"/>
          <w:i w:val="0"/>
          <w:sz w:val="20"/>
        </w:rPr>
        <w:t xml:space="preserve"> Locally in the eye they act on alpha 1 receptors, which constrict the conjunctival vessels; systemically these imidazolines target alpha 2 instead, which is what makes an accidental ingestion dangerous.</w:t>
      </w:r>
    </w:p>
    <w:p>
      <w:pPr>
        <w:pStyle w:val="Heading2"/>
        <w:spacing w:before="200" w:after="100"/>
      </w:pPr>
      <w:r>
        <w:rPr>
          <w:rFonts w:ascii="Georgia" w:hAnsi="Georgia"/>
          <w:color w:val="6B3524"/>
        </w:rPr>
        <w:t>1.5 · Objectives 5–7 — Anti-inflammatories and dry eye</w:t>
      </w:r>
    </w:p>
    <w:p>
      <w:pPr>
        <w:spacing w:after="120"/>
      </w:pPr>
      <w:r>
        <w:rPr>
          <w:b w:val="0"/>
          <w:i w:val="0"/>
        </w:rPr>
        <w:t xml:space="preserve">The two anti-inflammatory classes sit one step apart in the same cascade. </w:t>
      </w:r>
      <w:r>
        <w:rPr>
          <w:b/>
          <w:i w:val="0"/>
        </w:rPr>
        <w:t>Glucocorticoids inhibit phospholipase A2</w:t>
      </w:r>
      <w:r>
        <w:rPr>
          <w:b w:val="0"/>
          <w:i w:val="0"/>
        </w:rPr>
        <w:t xml:space="preserve">, so arachidonic acid is never liberated and the whole downstream family of mediators fails. </w:t>
      </w:r>
      <w:r>
        <w:rPr>
          <w:b/>
          <w:i w:val="0"/>
        </w:rPr>
        <w:t>Nonsteroidals block cyclooxygenase</w:t>
      </w:r>
      <w:r>
        <w:rPr>
          <w:b w:val="0"/>
          <w:i w:val="0"/>
        </w:rPr>
        <w:t>, so arachidonic acid that has already been liberated cannot become prostaglandin or thromboxane. The steroids therefore cut off more, and cost more to use.</w:t>
      </w:r>
    </w:p>
    <w:p>
      <w:pPr>
        <w:spacing w:after="120"/>
      </w:pPr>
      <w:r>
        <w:rPr>
          <w:b/>
          <w:i w:val="0"/>
        </w:rPr>
        <w:t>Nonsteroidals</w:t>
      </w:r>
      <w:r>
        <w:rPr>
          <w:b w:val="0"/>
          <w:i w:val="0"/>
        </w:rPr>
        <w:t xml:space="preserve"> — bromfenac, diclofenac, flurbiprofen, ketorolac, nepafenac — are indicated for </w:t>
      </w:r>
      <w:r>
        <w:rPr>
          <w:b/>
          <w:i w:val="0"/>
        </w:rPr>
        <w:t>postoperative inflammation and pain</w:t>
      </w:r>
      <w:r>
        <w:rPr>
          <w:b w:val="0"/>
          <w:i w:val="0"/>
        </w:rPr>
        <w:t xml:space="preserve"> and </w:t>
      </w:r>
      <w:r>
        <w:rPr>
          <w:b/>
          <w:i w:val="0"/>
        </w:rPr>
        <w:t>allergic conjunctivitis</w:t>
      </w:r>
      <w:r>
        <w:rPr>
          <w:b w:val="0"/>
          <w:i w:val="0"/>
        </w:rPr>
        <w:t xml:space="preserve">, and are </w:t>
      </w:r>
      <w:r>
        <w:rPr>
          <w:b/>
          <w:i w:val="0"/>
        </w:rPr>
        <w:t>not routinely recommended for conjunctivitis</w:t>
      </w:r>
      <w:r>
        <w:rPr>
          <w:b w:val="0"/>
          <w:i w:val="0"/>
        </w:rPr>
        <w:t xml:space="preserve"> generally. Adverse effects: lacrimation, keratitis, </w:t>
      </w:r>
      <w:r>
        <w:rPr>
          <w:b/>
          <w:i w:val="0"/>
        </w:rPr>
        <w:t>raised intraocular pressure</w:t>
      </w:r>
      <w:r>
        <w:rPr>
          <w:b w:val="0"/>
          <w:i w:val="0"/>
        </w:rPr>
        <w:t xml:space="preserve"> and irritation.</w:t>
      </w:r>
    </w:p>
    <w:p>
      <w:pPr>
        <w:spacing w:after="120"/>
      </w:pPr>
      <w:r>
        <w:rPr>
          <w:b/>
          <w:i w:val="0"/>
        </w:rPr>
        <w:t>Glucocorticoids</w:t>
      </w:r>
      <w:r>
        <w:rPr>
          <w:b w:val="0"/>
          <w:i w:val="0"/>
        </w:rPr>
        <w:t xml:space="preserve"> also inhibit fibrin and collagen deposition, so they reduce scarring — useful where a scar costs vision. They are used for severe ocular allergy, anterior uveitis, external eye inflammatory disease and post-surgical inflammation, generally for </w:t>
      </w:r>
      <w:r>
        <w:rPr>
          <w:b/>
          <w:i w:val="0"/>
        </w:rPr>
        <w:t>refractory</w:t>
      </w:r>
      <w:r>
        <w:rPr>
          <w:b w:val="0"/>
          <w:i w:val="0"/>
        </w:rPr>
        <w:t xml:space="preserve"> symptoms.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Why steroid courses are short.</w:t>
            </w:r>
            <w:r>
              <w:rPr>
                <w:b w:val="0"/>
                <w:i w:val="0"/>
              </w:rPr>
              <w:t xml:space="preserve"> Cataract formation; raised intraocular pressure and glaucoma, </w:t>
            </w:r>
            <w:r>
              <w:rPr>
                <w:b/>
                <w:i w:val="0"/>
              </w:rPr>
              <w:t>more with a family history</w:t>
            </w:r>
            <w:r>
              <w:rPr>
                <w:b w:val="0"/>
                <w:i w:val="0"/>
              </w:rPr>
              <w:t xml:space="preserve">; infection, through reduced local immune function; delayed wound healing; corneal ulcers. Hence </w:t>
            </w:r>
            <w:r>
              <w:rPr>
                <w:b w:val="0"/>
                <w:i w:val="0"/>
                <w:highlight w:val="yellow"/>
              </w:rPr>
              <w:t>limited to under a two-week pulse</w:t>
            </w:r>
            <w:r>
              <w:rPr>
                <w:b w:val="0"/>
                <w:i w:val="0"/>
              </w:rPr>
              <w:t xml:space="preserve">. Three agents are marked as </w:t>
            </w:r>
            <w:r>
              <w:rPr>
                <w:b/>
                <w:i w:val="0"/>
              </w:rPr>
              <w:t>“soft steroids” with lower pressure risk — fluorometholone, loteprednol and rimexolone</w:t>
            </w:r>
            <w:r>
              <w:rPr>
                <w:b w:val="0"/>
                <w:i w:val="0"/>
              </w:rPr>
              <w:t>. Triamcinolone is the intravitreal one.</w:t>
            </w:r>
          </w:p>
        </w:tc>
      </w:tr>
    </w:tbl>
    <w:p>
      <w:pPr>
        <w:spacing w:after="80"/>
      </w:pPr>
    </w:p>
    <w:p>
      <w:pPr>
        <w:spacing w:after="120"/>
      </w:pPr>
      <w:r>
        <w:rPr>
          <w:b/>
          <w:i w:val="0"/>
        </w:rPr>
        <w:t>Dry eye</w:t>
      </w:r>
      <w:r>
        <w:rPr>
          <w:b w:val="0"/>
          <w:i w:val="0"/>
        </w:rPr>
        <w:t xml:space="preserve"> is often a manifestation of something else — Sjogren syndrome, rheumatoid arthritis, vitamin A deficiency, Stevens-Johnson syndrome — so the first instruction is </w:t>
      </w:r>
      <w:r>
        <w:rPr>
          <w:b/>
          <w:i w:val="0"/>
        </w:rPr>
        <w:t>treat the disease</w:t>
      </w:r>
      <w:r>
        <w:rPr>
          <w:b w:val="0"/>
          <w:i w:val="0"/>
        </w:rPr>
        <w:t>. Then physical measures (</w:t>
      </w:r>
      <w:r>
        <w:rPr>
          <w:b/>
          <w:i w:val="0"/>
        </w:rPr>
        <w:t>punctal plugs, surgical occlusion</w:t>
      </w:r>
      <w:r>
        <w:rPr>
          <w:b w:val="0"/>
          <w:i w:val="0"/>
        </w:rPr>
        <w:t xml:space="preserve">) and tear substitutes: hypotonic or isotonic solutions with electrolytes, surfactants and </w:t>
      </w:r>
      <w:r>
        <w:rPr>
          <w:b/>
          <w:i w:val="0"/>
        </w:rPr>
        <w:t>thickeners to increase time in the cul-de-sac</w:t>
      </w:r>
      <w:r>
        <w:rPr>
          <w:b w:val="0"/>
          <w:i w:val="0"/>
        </w:rPr>
        <w:t>.</w:t>
      </w:r>
    </w:p>
    <w:p>
      <w:pPr>
        <w:spacing w:after="120"/>
      </w:pPr>
      <w:r>
        <w:rPr>
          <w:b/>
          <w:i w:val="0"/>
        </w:rPr>
        <w:t>Cyclosporine</w:t>
      </w:r>
      <w:r>
        <w:rPr>
          <w:b w:val="0"/>
          <w:i w:val="0"/>
        </w:rPr>
        <w:t xml:space="preserve"> inhibits </w:t>
      </w:r>
      <w:r>
        <w:rPr>
          <w:b/>
          <w:i w:val="0"/>
        </w:rPr>
        <w:t>interleukin-2</w:t>
      </w:r>
      <w:r>
        <w:rPr>
          <w:b w:val="0"/>
          <w:i w:val="0"/>
        </w:rPr>
        <w:t xml:space="preserve"> production and so T cell activation, reducing inflammatory markers in the lacrimal gland and increasing tear production. Indication: </w:t>
      </w:r>
      <w:r>
        <w:rPr>
          <w:b/>
          <w:i w:val="0"/>
        </w:rPr>
        <w:t>chronic dry eye associated with inflammation</w:t>
      </w:r>
      <w:r>
        <w:rPr>
          <w:b w:val="0"/>
          <w:i w:val="0"/>
        </w:rPr>
        <w:t xml:space="preserve"> (keratoconjunctivitis sicca). Warn about </w:t>
      </w:r>
      <w:r>
        <w:rPr>
          <w:b/>
          <w:i w:val="0"/>
        </w:rPr>
        <w:t>ocular burning in about 17%</w:t>
      </w:r>
      <w:r>
        <w:rPr>
          <w:b w:val="0"/>
          <w:i w:val="0"/>
        </w:rPr>
        <w:t>, foreign body sensation and blurred vision — a drug that takes time to work needs its side effects flagged up front.</w:t>
      </w:r>
    </w:p>
    <w:p>
      <w:pPr>
        <w:spacing w:after="120"/>
      </w:pPr>
      <w:r>
        <w:rPr>
          <w:b w:val="0"/>
          <w:i w:val="0"/>
        </w:rPr>
        <w:t>Also tested</w:t>
      </w:r>
    </w:p>
    <w:p>
      <w:pPr>
        <w:pStyle w:val="ListBullet"/>
        <w:spacing w:after="40"/>
      </w:pPr>
      <w:r>
        <w:rPr>
          <w:b/>
          <w:i w:val="0"/>
          <w:sz w:val="20"/>
        </w:rPr>
        <w:t>Cyclosporine drops counseling.</w:t>
      </w:r>
      <w:r>
        <w:rPr>
          <w:b w:val="0"/>
          <w:i w:val="0"/>
          <w:sz w:val="20"/>
        </w:rPr>
        <w:t xml:space="preserve"> Warn patients about ocular burning, which occurs in roughly seventeen percent (about one in six), along with foreign body sensation and blurred vision; warning up front helps keep patients on a drug that takes time to work.</w:t>
      </w:r>
    </w:p>
    <w:p>
      <w:pPr>
        <w:pStyle w:val="ListBullet"/>
        <w:spacing w:after="40"/>
      </w:pPr>
      <w:r>
        <w:rPr>
          <w:b/>
          <w:i w:val="0"/>
          <w:sz w:val="20"/>
        </w:rPr>
        <w:t>Glucocorticoids in the late-phase allergic reaction.</w:t>
      </w:r>
      <w:r>
        <w:rPr>
          <w:b w:val="0"/>
          <w:i w:val="0"/>
          <w:sz w:val="20"/>
        </w:rPr>
        <w:t xml:space="preserve"> Glucocorticoids such as prednisolone suppress the late phase by inhibiting phospholipase A2, cutting off arachidonic acid derived mediators at source. They also inhibit fibrin and collagen deposition, reducing scar formation.</w:t>
      </w:r>
    </w:p>
    <w:p>
      <w:pPr>
        <w:pStyle w:val="ListBullet"/>
        <w:spacing w:after="40"/>
      </w:pPr>
      <w:r>
        <w:rPr>
          <w:b/>
          <w:i w:val="0"/>
          <w:sz w:val="20"/>
        </w:rPr>
        <w:t>Cyclosporine drops for dry eye.</w:t>
      </w:r>
      <w:r>
        <w:rPr>
          <w:b w:val="0"/>
          <w:i w:val="0"/>
          <w:sz w:val="20"/>
        </w:rPr>
        <w:t xml:space="preserve"> Beyond tear substitutes, cyclosporine drops are indicated for chronic dry eye with inflammation. They inhibit interleukin 2 production, reduce lacrimal inflammatory markers and raise tear production. Ocular burning is the commonest complaint.</w:t>
      </w:r>
    </w:p>
    <w:p>
      <w:pPr>
        <w:pStyle w:val="ListBullet"/>
        <w:spacing w:after="40"/>
      </w:pPr>
      <w:r>
        <w:rPr>
          <w:b/>
          <w:i w:val="0"/>
          <w:sz w:val="20"/>
        </w:rPr>
        <w:t>Ocular nonsteroidal anti-inflammatory drugs in glaucoma.</w:t>
      </w:r>
      <w:r>
        <w:rPr>
          <w:b w:val="0"/>
          <w:i w:val="0"/>
          <w:sz w:val="20"/>
        </w:rPr>
        <w:t xml:space="preserve"> The adverse effect that matters most is a rise in intraocular pressure, which could undo glaucoma control; lacrimation, keratitis and irritation are the nuisance effects.</w:t>
      </w:r>
    </w:p>
    <w:p>
      <w:pPr>
        <w:pStyle w:val="ListBullet"/>
        <w:spacing w:after="40"/>
      </w:pPr>
      <w:r>
        <w:rPr>
          <w:b/>
          <w:i w:val="0"/>
          <w:sz w:val="20"/>
        </w:rPr>
        <w:t>Ocular nonsteroidals and glaucoma.</w:t>
      </w:r>
      <w:r>
        <w:rPr>
          <w:b w:val="0"/>
          <w:i w:val="0"/>
          <w:sz w:val="20"/>
        </w:rPr>
        <w:t xml:space="preserve"> A rise in intraocular pressure matters most in a patient watched for glaucoma, because the drug given for inflammation pushes the very pressure that glaucoma treatment exists to lower.</w:t>
      </w:r>
    </w:p>
    <w:p>
      <w:pPr>
        <w:pStyle w:val="ListBullet"/>
        <w:spacing w:after="40"/>
      </w:pPr>
      <w:r>
        <w:rPr>
          <w:b/>
          <w:i w:val="0"/>
          <w:sz w:val="20"/>
        </w:rPr>
        <w:t>Ophthalmic non-steroidal anti-inflammatories.</w:t>
      </w:r>
      <w:r>
        <w:rPr>
          <w:b w:val="0"/>
          <w:i w:val="0"/>
          <w:sz w:val="20"/>
        </w:rPr>
        <w:t xml:space="preserve"> Ketorolac blocks cyclooxygenase, stopping conversion of arachidonic acid to prostaglandins and thromboxanes; the mechanism is the same whether the drug is taken for a headache or put in the eye.</w:t>
      </w:r>
    </w:p>
    <w:p>
      <w:pPr>
        <w:pStyle w:val="Heading2"/>
        <w:spacing w:before="200" w:after="100"/>
      </w:pPr>
      <w:r>
        <w:rPr>
          <w:rFonts w:ascii="Georgia" w:hAnsi="Georgia"/>
          <w:color w:val="6B3524"/>
        </w:rPr>
        <w:t>1.6 · Objectives 1–7 — Glaucoma</w:t>
      </w:r>
    </w:p>
    <w:p>
      <w:pPr>
        <w:spacing w:after="120"/>
      </w:pPr>
      <w:r>
        <w:rPr>
          <w:b w:val="0"/>
          <w:i w:val="0"/>
        </w:rPr>
        <w:t xml:space="preserve">Raised pressure causes </w:t>
      </w:r>
      <w:r>
        <w:rPr>
          <w:b/>
          <w:i w:val="0"/>
        </w:rPr>
        <w:t>optic neuropathy → loss of retinal ganglion cell axons → visual field loss → irreversible blindness</w:t>
      </w:r>
      <w:r>
        <w:rPr>
          <w:b w:val="0"/>
          <w:i w:val="0"/>
        </w:rPr>
        <w:t xml:space="preserve">. Irreversible is the operative word: therapy prevents progression, it does not recover vision. Normal pressure is </w:t>
      </w:r>
      <w:r>
        <w:rPr>
          <w:b/>
          <w:i w:val="0"/>
        </w:rPr>
        <w:t>10 to 21 mmHg</w:t>
      </w:r>
      <w:r>
        <w:rPr>
          <w:b w:val="0"/>
          <w:i w:val="0"/>
        </w:rPr>
        <w:t>.</w:t>
      </w:r>
    </w:p>
    <w:p>
      <w:pPr>
        <w:spacing w:after="120"/>
      </w:pPr>
      <w:r>
        <w:rPr>
          <w:b/>
          <w:i w:val="0"/>
        </w:rPr>
        <w:t>Three definitions that are examined against each other.</w:t>
      </w:r>
      <w:r>
        <w:rPr>
          <w:b/>
          <w:i w:val="0"/>
        </w:rPr>
        <w:t>Ocular hypertension</w:t>
      </w:r>
      <w:r>
        <w:rPr>
          <w:b w:val="0"/>
          <w:i w:val="0"/>
        </w:rPr>
        <w:t xml:space="preserve"> — pressure above normal, </w:t>
      </w:r>
      <w:r>
        <w:rPr>
          <w:b w:val="0"/>
          <w:i/>
        </w:rPr>
        <w:t>no</w:t>
      </w:r>
      <w:r>
        <w:rPr>
          <w:b w:val="0"/>
          <w:i w:val="0"/>
        </w:rPr>
        <w:t xml:space="preserve"> optic nerve damage, </w:t>
      </w:r>
      <w:r>
        <w:rPr>
          <w:b w:val="0"/>
          <w:i/>
        </w:rPr>
        <w:t>no</w:t>
      </w:r>
      <w:r>
        <w:rPr>
          <w:b w:val="0"/>
          <w:i w:val="0"/>
        </w:rPr>
        <w:t xml:space="preserve"> field loss. A risk factor, not a disease. </w:t>
      </w:r>
      <w:r>
        <w:rPr>
          <w:b/>
          <w:i w:val="0"/>
        </w:rPr>
        <w:t>Open-angle glaucoma</w:t>
      </w:r>
      <w:r>
        <w:rPr>
          <w:b w:val="0"/>
          <w:i w:val="0"/>
        </w:rPr>
        <w:t xml:space="preserve"> — increased production or decreased drainage; the patient may have nerve damage or reduced field. </w:t>
      </w:r>
      <w:r>
        <w:rPr>
          <w:b/>
          <w:i w:val="0"/>
        </w:rPr>
        <w:t>Angle-closure glaucoma</w:t>
      </w:r>
      <w:r>
        <w:rPr>
          <w:b w:val="0"/>
          <w:i w:val="0"/>
        </w:rPr>
        <w:t xml:space="preserve"> — blockage of the drainage canal; the optic nerve may be normal but the patient is usually in acute pain. </w:t>
      </w:r>
      <w:r>
        <w:rPr>
          <w:b/>
          <w:i w:val="0"/>
        </w:rPr>
        <w:t>Drug therapy targets open angle disease.</w:t>
      </w:r>
    </w:p>
    <w:p>
      <w:pPr>
        <w:spacing w:after="120"/>
      </w:pPr>
      <w:r>
        <w:rPr>
          <w:b/>
          <w:i w:val="0"/>
        </w:rPr>
        <w:t>Sort every agent by which side it works on.</w:t>
      </w:r>
      <w:r>
        <w:rPr>
          <w:b w:val="0"/>
          <w:i w:val="0"/>
        </w:rPr>
        <w:t xml:space="preserve"> Increasing outflow: </w:t>
      </w:r>
      <w:r>
        <w:rPr>
          <w:b/>
          <w:i w:val="0"/>
        </w:rPr>
        <w:t>prostaglandins</w:t>
      </w:r>
      <w:r>
        <w:rPr>
          <w:b w:val="0"/>
          <w:i w:val="0"/>
        </w:rPr>
        <w:t xml:space="preserve">, </w:t>
      </w:r>
      <w:r>
        <w:rPr>
          <w:b/>
          <w:i w:val="0"/>
        </w:rPr>
        <w:t>alpha adrenergic agonists</w:t>
      </w:r>
      <w:r>
        <w:rPr>
          <w:b w:val="0"/>
          <w:i w:val="0"/>
        </w:rPr>
        <w:t xml:space="preserve">, </w:t>
      </w:r>
      <w:r>
        <w:rPr>
          <w:b/>
          <w:i w:val="0"/>
        </w:rPr>
        <w:t>cholinergic agonists</w:t>
      </w:r>
      <w:r>
        <w:rPr>
          <w:b w:val="0"/>
          <w:i w:val="0"/>
        </w:rPr>
        <w:t xml:space="preserve">. Decreasing production: </w:t>
      </w:r>
      <w:r>
        <w:rPr>
          <w:b/>
          <w:i w:val="0"/>
        </w:rPr>
        <w:t>alpha adrenergic agonists</w:t>
      </w:r>
      <w:r>
        <w:rPr>
          <w:b w:val="0"/>
          <w:i w:val="0"/>
        </w:rPr>
        <w:t xml:space="preserve">, </w:t>
      </w:r>
      <w:r>
        <w:rPr>
          <w:b/>
          <w:i w:val="0"/>
        </w:rPr>
        <w:t>beta blockers</w:t>
      </w:r>
      <w:r>
        <w:rPr>
          <w:b w:val="0"/>
          <w:i w:val="0"/>
        </w:rPr>
        <w:t xml:space="preserve">, </w:t>
      </w:r>
      <w:r>
        <w:rPr>
          <w:b/>
          <w:i w:val="0"/>
        </w:rPr>
        <w:t>carbonic anhydrase inhibitors</w:t>
      </w:r>
      <w:r>
        <w:rPr>
          <w:b w:val="0"/>
          <w:i w:val="0"/>
        </w:rPr>
        <w:t xml:space="preserve">. The alpha agonists appear on </w:t>
      </w:r>
      <w:r>
        <w:rPr>
          <w:b w:val="0"/>
          <w:i/>
        </w:rPr>
        <w:t>both</w:t>
      </w:r>
      <w:r>
        <w:rPr>
          <w:b w:val="0"/>
          <w:i w:val="0"/>
        </w:rPr>
        <w:t xml:space="preserve"> lists, which is where most errors come from.</w:t>
      </w:r>
    </w:p>
    <w:p>
      <w:pPr>
        <w:spacing w:after="120"/>
      </w:pPr>
      <w:r>
        <w:rPr>
          <w:b/>
          <w:i w:val="0"/>
        </w:rPr>
        <w:t>Prostaglandins</w:t>
      </w:r>
      <w:r>
        <w:rPr>
          <w:b w:val="0"/>
          <w:i w:val="0"/>
        </w:rPr>
        <w:t xml:space="preserve"> (latanoprost, travoprost, bimatoprost, tafluprost) are analogs of prostaglandin F2-alpha and increase outflow. They are </w:t>
      </w:r>
      <w:r>
        <w:rPr>
          <w:b/>
          <w:i w:val="0"/>
        </w:rPr>
        <w:t>first line and the most commonly used</w:t>
      </w:r>
      <w:r>
        <w:rPr>
          <w:b w:val="0"/>
          <w:i w:val="0"/>
        </w:rPr>
        <w:t xml:space="preserve">, dosed </w:t>
      </w:r>
      <w:r>
        <w:rPr>
          <w:b/>
          <w:i w:val="0"/>
        </w:rPr>
        <w:t>once daily — and exceeding that inhibits the pressure-lowering effect</w:t>
      </w:r>
      <w:r>
        <w:rPr>
          <w:b w:val="0"/>
          <w:i w:val="0"/>
        </w:rPr>
        <w:t xml:space="preserve">. Warn about </w:t>
      </w:r>
      <w:r>
        <w:rPr>
          <w:b/>
          <w:i w:val="0"/>
        </w:rPr>
        <w:t>eyelash lengthening and iris color change</w:t>
      </w:r>
      <w:r>
        <w:rPr>
          <w:b w:val="0"/>
          <w:i w:val="0"/>
        </w:rPr>
        <w:t>, plus conjunctival hyperemia. Limited systemic effects.</w:t>
      </w:r>
    </w:p>
    <w:p>
      <w:pPr>
        <w:spacing w:after="120"/>
      </w:pPr>
      <w:r>
        <w:rPr>
          <w:b/>
          <w:i w:val="0"/>
        </w:rPr>
        <w:t>Beta blockers</w:t>
      </w:r>
      <w:r>
        <w:rPr>
          <w:b w:val="0"/>
          <w:i w:val="0"/>
        </w:rPr>
        <w:t xml:space="preserve"> block beta receptors in the ciliary epithelium, reducing catecholamine activation and cyclic AMP, and so aqueous production. </w:t>
      </w:r>
      <w:r>
        <w:rPr>
          <w:b/>
          <w:i w:val="0"/>
        </w:rPr>
        <w:t>Betaxolol is beta-1 selective</w:t>
      </w:r>
      <w:r>
        <w:rPr>
          <w:b w:val="0"/>
          <w:i w:val="0"/>
        </w:rPr>
        <w:t xml:space="preserve">; carteolol, timolol and levobunolol are non-selective. Non-selective is more efficacious but riskier, because </w:t>
      </w:r>
      <w:r>
        <w:rPr>
          <w:b/>
          <w:i w:val="0"/>
        </w:rPr>
        <w:t>beta-2 receptors mediate bronchodilation</w:t>
      </w:r>
      <w:r>
        <w:rPr>
          <w:b w:val="0"/>
          <w:i w:val="0"/>
        </w:rPr>
        <w:t xml:space="preserve">. Systemic effects reach through nasolacrimal absorption: </w:t>
      </w:r>
      <w:r>
        <w:rPr>
          <w:b/>
          <w:i w:val="0"/>
        </w:rPr>
        <w:t>worsening heart failure, bradycardia, heart block, increased airway resistance</w:t>
      </w:r>
      <w:r>
        <w:rPr>
          <w:b w:val="0"/>
          <w:i w:val="0"/>
        </w:rPr>
        <w:t>.</w:t>
      </w:r>
    </w:p>
    <w:p>
      <w:pPr>
        <w:spacing w:after="120"/>
      </w:pPr>
      <w:r>
        <w:rPr>
          <w:b/>
          <w:i w:val="0"/>
        </w:rPr>
        <w:t>Alpha-2 agonists</w:t>
      </w:r>
      <w:r>
        <w:rPr>
          <w:b w:val="0"/>
          <w:i w:val="0"/>
        </w:rPr>
        <w:t xml:space="preserve"> (apraclonidine, brimonidine) reduce catecholamine release presynaptically and aqueous production postsynaptically, and increase outflow. </w:t>
      </w:r>
      <w:r>
        <w:rPr>
          <w:b/>
          <w:i w:val="0"/>
        </w:rPr>
        <w:t>Contraindicated under two years — central nervous system depression and apnea.</w:t>
      </w:r>
      <w:r>
        <w:rPr>
          <w:b w:val="0"/>
          <w:i w:val="0"/>
        </w:rPr>
        <w:t xml:space="preserve"> Apraclonidine is highly ionized at physiological pH, which limits blood-brain barrier penetration; brimonidine is more lipophilic but causes less allergic conjunctivitis.</w:t>
      </w:r>
    </w:p>
    <w:p>
      <w:pPr>
        <w:spacing w:after="120"/>
      </w:pPr>
      <w:r>
        <w:rPr>
          <w:b/>
          <w:i w:val="0"/>
        </w:rPr>
        <w:t>Carbonic anhydrase inhibitors</w:t>
      </w:r>
      <w:r>
        <w:rPr>
          <w:b w:val="0"/>
          <w:i w:val="0"/>
        </w:rPr>
        <w:t xml:space="preserve"> (dorzolamide, brinzolamide) reduce bicarbonate production in the ciliary epithelium, so less fluid is transported. Their problem is tolerability: </w:t>
      </w:r>
      <w:r>
        <w:rPr>
          <w:b/>
          <w:i w:val="0"/>
        </w:rPr>
        <w:t>bitter taste in about 25%</w:t>
      </w:r>
      <w:r>
        <w:rPr>
          <w:b w:val="0"/>
          <w:i w:val="0"/>
        </w:rPr>
        <w:t xml:space="preserve"> and </w:t>
      </w:r>
      <w:r>
        <w:rPr>
          <w:b/>
          <w:i w:val="0"/>
        </w:rPr>
        <w:t>burning or stinging in about 33%</w:t>
      </w:r>
      <w:r>
        <w:rPr>
          <w:b w:val="0"/>
          <w:i w:val="0"/>
        </w:rPr>
        <w:t xml:space="preserve">. </w:t>
      </w:r>
      <w:r>
        <w:rPr>
          <w:b/>
          <w:i w:val="0"/>
        </w:rPr>
        <w:t>Cholinergic agonists</w:t>
      </w:r>
      <w:r>
        <w:rPr>
          <w:b w:val="0"/>
          <w:i w:val="0"/>
        </w:rPr>
        <w:t xml:space="preserve"> (pilocarpine, carbachol, acetylcholine) activate muscarinic receptors, contracting the ciliary muscle and opening outflow — but give </w:t>
      </w:r>
      <w:r>
        <w:rPr>
          <w:b/>
          <w:i w:val="0"/>
        </w:rPr>
        <w:t>fixed small pupils, induced myopia and visual disturbance</w:t>
      </w:r>
      <w:r>
        <w:rPr>
          <w:b w:val="0"/>
          <w:i w:val="0"/>
        </w:rPr>
        <w:t xml:space="preserve">, and </w:t>
      </w:r>
      <w:r>
        <w:rPr>
          <w:b/>
          <w:i w:val="0"/>
        </w:rPr>
        <w:t>younger patients are usually intolerant</w:t>
      </w:r>
      <w:r>
        <w:rPr>
          <w:b w:val="0"/>
          <w:i w:val="0"/>
        </w:rPr>
        <w:t xml:space="preserve"> because they still accommodate.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question he said he would ask.</w:t>
            </w:r>
            <w:r>
              <w:rPr>
                <w:b w:val="0"/>
                <w:i w:val="0"/>
              </w:rPr>
              <w:t xml:space="preserve"> Combination products — brimonidine with timolol, brinzolamide with brimonidine, dorzolamide with timolol — are synergistic because they target </w:t>
            </w:r>
            <w:r>
              <w:rPr>
                <w:b w:val="0"/>
                <w:i/>
              </w:rPr>
              <w:t>different</w:t>
            </w:r>
            <w:r>
              <w:rPr>
                <w:b w:val="0"/>
                <w:i w:val="0"/>
              </w:rPr>
              <w:t xml:space="preserve"> routes, and fewer drops improves compliance. He does not want the products memorized; he wants </w:t>
            </w:r>
            <w:r>
              <w:rPr>
                <w:b w:val="0"/>
                <w:i w:val="0"/>
                <w:highlight w:val="yellow"/>
              </w:rPr>
              <w:t>“patient’s on this drug right now, what would be a helpful second line agent to add on?”</w:t>
            </w:r>
            <w:r>
              <w:rPr>
                <w:b w:val="0"/>
                <w:i w:val="0"/>
              </w:rPr>
              <w:t xml:space="preserve"> Answer it by asking which side of the production/outflow divide the current drug is on, and adding from the other. </w:t>
            </w:r>
            <w:r>
              <w:br/>
            </w:r>
            <w:r>
              <w:br/>
            </w:r>
            <w:r>
              <w:rPr>
                <w:b/>
                <w:i w:val="0"/>
              </w:rPr>
              <w:t>Who to treat:</w:t>
            </w:r>
            <w:r>
              <w:rPr>
                <w:b w:val="0"/>
                <w:i w:val="0"/>
              </w:rPr>
              <w:t xml:space="preserve"> those with risk factors. Those without are monitored until glaucomatous change occurs. Start with a </w:t>
            </w:r>
            <w:r>
              <w:rPr>
                <w:b/>
                <w:i w:val="0"/>
              </w:rPr>
              <w:t>prostaglandin or a beta blocker</w:t>
            </w:r>
            <w:r>
              <w:rPr>
                <w:b w:val="0"/>
                <w:i w:val="0"/>
              </w:rPr>
              <w:t xml:space="preserve">, optionally </w:t>
            </w:r>
            <w:r>
              <w:rPr>
                <w:b/>
                <w:i w:val="0"/>
              </w:rPr>
              <w:t>in one eye</w:t>
            </w:r>
            <w:r>
              <w:rPr>
                <w:b w:val="0"/>
                <w:i w:val="0"/>
              </w:rPr>
              <w:t xml:space="preserve"> to judge efficacy and tolerability against the other. General goal: a </w:t>
            </w:r>
            <w:r>
              <w:rPr>
                <w:b/>
                <w:i w:val="0"/>
              </w:rPr>
              <w:t>20 to 30% reduction</w:t>
            </w:r>
            <w:r>
              <w:rPr>
                <w:b w:val="0"/>
                <w:i w:val="0"/>
              </w:rPr>
              <w:t>.</w:t>
            </w:r>
          </w:p>
        </w:tc>
      </w:tr>
    </w:tbl>
    <w:p>
      <w:pPr>
        <w:spacing w:after="80"/>
      </w:pPr>
    </w:p>
    <w:p>
      <w:pPr>
        <w:spacing w:after="120"/>
      </w:pPr>
      <w:r>
        <w:rPr>
          <w:b w:val="0"/>
          <w:i w:val="0"/>
        </w:rPr>
        <w:t>Also tested</w:t>
      </w:r>
    </w:p>
    <w:p>
      <w:pPr>
        <w:pStyle w:val="ListBullet"/>
        <w:spacing w:after="40"/>
      </w:pPr>
      <w:r>
        <w:rPr>
          <w:b/>
          <w:i w:val="0"/>
          <w:sz w:val="20"/>
        </w:rPr>
        <w:t>Dorzolamide local effects.</w:t>
      </w:r>
      <w:r>
        <w:rPr>
          <w:b w:val="0"/>
          <w:i w:val="0"/>
          <w:sz w:val="20"/>
        </w:rPr>
        <w:t xml:space="preserve"> Bitter taste (about a quarter of patients) and stinging on instillation (about a third) are both common with this class. Warning patients in advance improves adherence.</w:t>
      </w:r>
    </w:p>
    <w:p>
      <w:pPr>
        <w:pStyle w:val="ListBullet"/>
        <w:spacing w:after="40"/>
      </w:pPr>
      <w:r>
        <w:rPr>
          <w:b/>
          <w:i w:val="0"/>
          <w:sz w:val="20"/>
        </w:rPr>
        <w:t>Systemic effects of timolol drops.</w:t>
      </w:r>
      <w:r>
        <w:rPr>
          <w:b w:val="0"/>
          <w:i w:val="0"/>
          <w:sz w:val="20"/>
        </w:rPr>
        <w:t xml:space="preserve"> Systemic beta blockade can occur from a drop, causing worsening heart failure, bradycardia, heart block and increased airway resistance.</w:t>
      </w:r>
    </w:p>
    <w:p>
      <w:pPr>
        <w:pStyle w:val="ListBullet"/>
        <w:spacing w:after="40"/>
      </w:pPr>
      <w:r>
        <w:rPr>
          <w:b/>
          <w:i w:val="0"/>
          <w:sz w:val="20"/>
        </w:rPr>
        <w:t>Glaucoma pressure target.</w:t>
      </w:r>
      <w:r>
        <w:rPr>
          <w:b w:val="0"/>
          <w:i w:val="0"/>
          <w:sz w:val="20"/>
        </w:rPr>
        <w:t xml:space="preserve"> The general goal is a 20 to 30 percent reduction in intraocular pressure, expressed as a proportion rather than an absolute number, to prevent progressive optic nerve damage with the fewest side effects.</w:t>
      </w:r>
    </w:p>
    <w:p>
      <w:pPr>
        <w:pStyle w:val="ListBullet"/>
        <w:spacing w:after="40"/>
      </w:pPr>
      <w:r>
        <w:rPr>
          <w:b/>
          <w:i w:val="0"/>
          <w:sz w:val="20"/>
        </w:rPr>
        <w:t>Combination therapy in glaucoma.</w:t>
      </w:r>
      <w:r>
        <w:rPr>
          <w:b w:val="0"/>
          <w:i w:val="0"/>
          <w:sz w:val="20"/>
        </w:rPr>
        <w:t xml:space="preserve"> More than one agent is often needed for targeting production and outflow together; combinations are synergistic and also cut the number of drops, which helps compliance.</w:t>
      </w:r>
    </w:p>
    <w:p>
      <w:pPr>
        <w:pStyle w:val="ListBullet"/>
        <w:spacing w:after="40"/>
      </w:pPr>
      <w:r>
        <w:rPr>
          <w:b/>
          <w:i w:val="0"/>
          <w:sz w:val="20"/>
        </w:rPr>
        <w:t>Ophthalmic alpha-2 agonists.</w:t>
      </w:r>
      <w:r>
        <w:rPr>
          <w:b w:val="0"/>
          <w:i w:val="0"/>
          <w:sz w:val="20"/>
        </w:rPr>
        <w:t xml:space="preserve"> They are contraindicated in children under two, from apnea risk.</w:t>
      </w:r>
    </w:p>
    <w:p>
      <w:pPr>
        <w:pStyle w:val="ListBullet"/>
        <w:spacing w:after="40"/>
      </w:pPr>
      <w:r>
        <w:rPr>
          <w:b/>
          <w:i w:val="0"/>
          <w:sz w:val="20"/>
        </w:rPr>
        <w:t>Pilocarpine in glaucoma.</w:t>
      </w:r>
      <w:r>
        <w:rPr>
          <w:b w:val="0"/>
          <w:i w:val="0"/>
          <w:sz w:val="20"/>
        </w:rPr>
        <w:t xml:space="preserve"> It lowers intraocular pressure because it activates muscarinic receptors on the ciliary muscle; contracting the muscle pulls on the trabecular meshwork and opens the drainage route.</w:t>
      </w:r>
    </w:p>
    <w:p>
      <w:pPr>
        <w:pStyle w:val="ListBullet"/>
        <w:spacing w:after="40"/>
      </w:pPr>
      <w:r>
        <w:rPr>
          <w:b/>
          <w:i w:val="0"/>
          <w:sz w:val="20"/>
        </w:rPr>
        <w:t>Adding a second glaucoma agent.</w:t>
      </w:r>
      <w:r>
        <w:rPr>
          <w:b w:val="0"/>
          <w:i w:val="0"/>
          <w:sz w:val="20"/>
        </w:rPr>
        <w:t xml:space="preserve"> Choose a different mechanism, for synergy and fewer drops: targeting multiple routes lowers pressure synergistically, and fewer drops improves compliance. Adding a drug of the same category is the wrong move.</w:t>
      </w:r>
    </w:p>
    <w:p>
      <w:pPr>
        <w:pStyle w:val="ListBullet"/>
        <w:spacing w:after="40"/>
      </w:pPr>
      <w:r>
        <w:rPr>
          <w:b/>
          <w:i w:val="0"/>
          <w:sz w:val="20"/>
        </w:rPr>
        <w:t>Glaucoma therapy goal.</w:t>
      </w:r>
      <w:r>
        <w:rPr>
          <w:b w:val="0"/>
          <w:i w:val="0"/>
          <w:sz w:val="20"/>
        </w:rPr>
        <w:t xml:space="preserve"> The general goal is a 20 to 30 percent reduction in pressure, and therapy can be started in one eye to judge efficacy and tolerability.</w:t>
      </w:r>
    </w:p>
    <w:p>
      <w:pPr>
        <w:pStyle w:val="ListBullet"/>
        <w:spacing w:after="40"/>
      </w:pPr>
      <w:r>
        <w:rPr>
          <w:b/>
          <w:i w:val="0"/>
          <w:sz w:val="20"/>
        </w:rPr>
        <w:t>Routes of lowering intraocular pressure.</w:t>
      </w:r>
      <w:r>
        <w:rPr>
          <w:b w:val="0"/>
          <w:i w:val="0"/>
          <w:sz w:val="20"/>
        </w:rPr>
        <w:t xml:space="preserve"> Brimonidine, an alpha adrenergic agonist, both increases outflow and decreases production; prostaglandins and cholinergics increase outflow, while beta blockers and carbonic anhydrase inhibitors decrease production.</w:t>
      </w:r>
    </w:p>
    <w:p>
      <w:pPr>
        <w:pStyle w:val="ListBullet"/>
        <w:spacing w:after="40"/>
      </w:pPr>
      <w:r>
        <w:rPr>
          <w:b/>
          <w:i w:val="0"/>
          <w:sz w:val="20"/>
        </w:rPr>
        <w:t>Prostaglandin analog cosmetic effects.</w:t>
      </w:r>
      <w:r>
        <w:rPr>
          <w:b w:val="0"/>
          <w:i w:val="0"/>
          <w:sz w:val="20"/>
        </w:rPr>
        <w:t xml:space="preserve"> Warn about longer lashes and iris color change, which matter more when only one eye is treated; conjunctival hyperemia is common too.</w:t>
      </w:r>
    </w:p>
    <w:p>
      <w:pPr>
        <w:pStyle w:val="ListBullet"/>
        <w:spacing w:after="40"/>
      </w:pPr>
      <w:r>
        <w:rPr>
          <w:b/>
          <w:i w:val="0"/>
          <w:sz w:val="20"/>
        </w:rPr>
        <w:t>Raised pressure in glaucoma.</w:t>
      </w:r>
      <w:r>
        <w:rPr>
          <w:b w:val="0"/>
          <w:i w:val="0"/>
          <w:sz w:val="20"/>
        </w:rPr>
        <w:t xml:space="preserve"> Treat those with risk factors; monitor those without. Raised pressure alone is not automatically a prescription, and in the absence of risk factors you watch for the change that would make it a disease.</w:t>
      </w:r>
    </w:p>
    <w:p>
      <w:pPr>
        <w:pStyle w:val="ListBullet"/>
        <w:spacing w:after="40"/>
      </w:pPr>
      <w:r>
        <w:rPr>
          <w:b/>
          <w:i w:val="0"/>
          <w:sz w:val="20"/>
        </w:rPr>
        <w:t>Topical ophthalmic beta blocker.</w:t>
      </w:r>
      <w:r>
        <w:rPr>
          <w:b w:val="0"/>
          <w:i w:val="0"/>
          <w:sz w:val="20"/>
        </w:rPr>
        <w:t xml:space="preserve"> It can produce systemic bradycardia, heart block and bronchoconstriction, because nasolacrimal absorption avoids first-pass metabolism, so a topical beta blocker can do everything a systemic one does.</w:t>
      </w:r>
    </w:p>
    <w:p>
      <w:pPr>
        <w:pStyle w:val="ListBullet"/>
        <w:spacing w:after="40"/>
      </w:pPr>
      <w:r>
        <w:rPr>
          <w:b/>
          <w:i w:val="0"/>
          <w:sz w:val="20"/>
        </w:rPr>
        <w:t>Nonselective beta blocker in the eye.</w:t>
      </w:r>
      <w:r>
        <w:rPr>
          <w:b w:val="0"/>
          <w:i w:val="0"/>
          <w:sz w:val="20"/>
        </w:rPr>
        <w:t xml:space="preserve"> It is more efficacious but worse tolerated because there are more beta 2 receptors in the eye; blocking both gives more effect, at the cost of beta 2 effects elsewhere.</w:t>
      </w:r>
    </w:p>
    <w:p>
      <w:pPr>
        <w:pStyle w:val="ListBullet"/>
        <w:spacing w:after="40"/>
      </w:pPr>
      <w:r>
        <w:rPr>
          <w:b/>
          <w:i w:val="0"/>
          <w:sz w:val="20"/>
        </w:rPr>
        <w:t>Latanoprost twice daily.</w:t>
      </w:r>
      <w:r>
        <w:rPr>
          <w:b w:val="0"/>
          <w:i w:val="0"/>
          <w:sz w:val="20"/>
        </w:rPr>
        <w:t xml:space="preserve"> Using latanoprost twice daily does not lower pressure further; it inhibits the effect, which is counterintuitive.</w:t>
      </w:r>
    </w:p>
    <w:p>
      <w:pPr>
        <w:pStyle w:val="ListBullet"/>
        <w:spacing w:after="40"/>
      </w:pPr>
      <w:r>
        <w:rPr>
          <w:b/>
          <w:i w:val="0"/>
          <w:sz w:val="20"/>
        </w:rPr>
        <w:t>Topical beta blocker in a patient with asthma.</w:t>
      </w:r>
      <w:r>
        <w:rPr>
          <w:b w:val="0"/>
          <w:i w:val="0"/>
          <w:sz w:val="20"/>
        </w:rPr>
        <w:t xml:space="preserve"> Betaxolol is safer because it is beta-1 selective; beta-2 receptors mediate bronchodilation, so blocking them raises airway resistance. Carteolol, timolol and levobunolol are non-selective.</w:t>
      </w:r>
    </w:p>
    <w:p>
      <w:pPr>
        <w:pStyle w:val="ListBullet"/>
        <w:spacing w:after="40"/>
      </w:pPr>
      <w:r>
        <w:rPr>
          <w:b/>
          <w:i w:val="0"/>
          <w:sz w:val="20"/>
        </w:rPr>
        <w:t>Beta blocker for migraine prophylaxis.</w:t>
      </w:r>
      <w:r>
        <w:rPr>
          <w:b w:val="0"/>
          <w:i w:val="0"/>
          <w:sz w:val="20"/>
        </w:rPr>
        <w:t xml:space="preserve"> Propranolol (with timolol) is used for migraine prophylaxis at low dose; the mechanism is uncertain.</w:t>
      </w:r>
    </w:p>
    <w:p>
      <w:pPr>
        <w:pStyle w:val="ListBullet"/>
        <w:spacing w:after="40"/>
      </w:pPr>
      <w:r>
        <w:rPr>
          <w:b/>
          <w:i w:val="0"/>
          <w:sz w:val="20"/>
        </w:rPr>
        <w:t>Cholinergic agonist in the surgical setting.</w:t>
      </w:r>
      <w:r>
        <w:rPr>
          <w:b w:val="0"/>
          <w:i w:val="0"/>
          <w:sz w:val="20"/>
        </w:rPr>
        <w:t xml:space="preserve"> Acetylcholine is the surgical agent among the three cholinergic agonists.</w:t>
      </w:r>
    </w:p>
    <w:p>
      <w:pPr>
        <w:pStyle w:val="ListBullet"/>
        <w:spacing w:after="40"/>
      </w:pPr>
      <w:r>
        <w:rPr>
          <w:b/>
          <w:i w:val="0"/>
          <w:sz w:val="20"/>
        </w:rPr>
        <w:t>Pilocarpine in younger patients.</w:t>
      </w:r>
      <w:r>
        <w:rPr>
          <w:b w:val="0"/>
          <w:i w:val="0"/>
          <w:sz w:val="20"/>
        </w:rPr>
        <w:t xml:space="preserve"> Pilocarpine is particularly poorly tolerated in younger patients because miosis blurs vision: fixed small pupils, myopia and visual disturbance, and compliance suffers for it.</w:t>
      </w:r>
    </w:p>
    <w:p>
      <w:pPr>
        <w:pStyle w:val="ListBullet"/>
        <w:spacing w:after="40"/>
      </w:pPr>
      <w:r>
        <w:rPr>
          <w:b/>
          <w:i w:val="0"/>
          <w:sz w:val="20"/>
        </w:rPr>
        <w:t>Adding a second glaucoma drug.</w:t>
      </w:r>
      <w:r>
        <w:rPr>
          <w:b w:val="0"/>
          <w:i w:val="0"/>
          <w:sz w:val="20"/>
        </w:rPr>
        <w:t xml:space="preserve"> When pressure is not controlled on one agent, add a drug with a different mechanism: targeting a different route lowers pressure additively, and fixed combinations can then cut the number of drops.</w:t>
      </w:r>
    </w:p>
    <w:p>
      <w:pPr>
        <w:pStyle w:val="Heading2"/>
        <w:spacing w:before="200" w:after="100"/>
      </w:pPr>
      <w:r>
        <w:rPr>
          <w:rFonts w:ascii="Georgia" w:hAnsi="Georgia"/>
          <w:color w:val="6B3524"/>
        </w:rPr>
        <w:t>1.7 · Objectives 1–3 — Diagnostic and procedural agents</w:t>
      </w:r>
    </w:p>
    <w:p>
      <w:pPr>
        <w:spacing w:after="120"/>
      </w:pPr>
      <w:r>
        <w:rPr>
          <w:b/>
          <w:i w:val="0"/>
        </w:rPr>
        <w:t>Anesthetics</w:t>
      </w:r>
      <w:r>
        <w:rPr>
          <w:b w:val="0"/>
          <w:i w:val="0"/>
        </w:rPr>
        <w:t xml:space="preserve"> (tetracaine, proparacaine) inhibit sodium influx into the neuron so the signal cannot propagate. Indications: </w:t>
      </w:r>
      <w:r>
        <w:rPr>
          <w:b/>
          <w:i w:val="0"/>
        </w:rPr>
        <w:t>tonometry, foreign body removal, superficial corneal surgery</w:t>
      </w:r>
      <w:r>
        <w:rPr>
          <w:b w:val="0"/>
          <w:i w:val="0"/>
        </w:rPr>
        <w:t xml:space="preserve">. Two warnings that matter more than the mechanism: the eye stays numb for </w:t>
      </w:r>
      <w:r>
        <w:rPr>
          <w:b/>
          <w:i w:val="0"/>
        </w:rPr>
        <w:t>10 to 20 minutes with no blink reflex</w:t>
      </w:r>
      <w:r>
        <w:rPr>
          <w:b w:val="0"/>
          <w:i w:val="0"/>
        </w:rPr>
        <w:t xml:space="preserve">, so it is unprotected; and </w:t>
      </w:r>
      <w:r>
        <w:rPr>
          <w:b w:val="0"/>
          <w:i w:val="0"/>
          <w:highlight w:val="yellow"/>
        </w:rPr>
        <w:t>do not write prescriptions for these</w:t>
      </w:r>
      <w:r>
        <w:rPr>
          <w:b w:val="0"/>
          <w:i w:val="0"/>
        </w:rPr>
        <w:t xml:space="preserve"> — repeated use is toxic to the epithelium and delays healing.</w:t>
      </w:r>
    </w:p>
    <w:p>
      <w:pPr>
        <w:spacing w:after="120"/>
      </w:pPr>
      <w:r>
        <w:rPr>
          <w:b/>
          <w:i w:val="0"/>
        </w:rPr>
        <w:t>Cycloplegics</w:t>
      </w:r>
      <w:r>
        <w:rPr>
          <w:b w:val="0"/>
          <w:i w:val="0"/>
        </w:rPr>
        <w:t xml:space="preserve"> come in two flavors with the same endpoint. </w:t>
      </w:r>
      <w:r>
        <w:rPr>
          <w:b/>
          <w:i w:val="0"/>
        </w:rPr>
        <w:t>Antimuscarinics</w:t>
      </w:r>
      <w:r>
        <w:rPr>
          <w:b w:val="0"/>
          <w:i w:val="0"/>
        </w:rPr>
        <w:t xml:space="preserve"> (atropine, cyclopentolate, tropicamide) competitively block muscarinic receptors — the exact opposite of pilocarpine — giving mydriasis. </w:t>
      </w:r>
      <w:r>
        <w:rPr>
          <w:b/>
          <w:i w:val="0"/>
        </w:rPr>
        <w:t>Sympathomimetics</w:t>
      </w:r>
      <w:r>
        <w:rPr>
          <w:b w:val="0"/>
          <w:i w:val="0"/>
        </w:rPr>
        <w:t xml:space="preserve"> (phenylephrine) stimulate the dilator instead, and leave the pupil </w:t>
      </w:r>
      <w:r>
        <w:rPr>
          <w:b/>
          <w:i w:val="0"/>
        </w:rPr>
        <w:t>more reactive to light</w:t>
      </w:r>
      <w:r>
        <w:rPr>
          <w:b w:val="0"/>
          <w:i w:val="0"/>
        </w:rPr>
        <w:t xml:space="preserve">. Used diagnostically for fundoscopy, and therapeutically in </w:t>
      </w:r>
      <w:r>
        <w:rPr>
          <w:b/>
          <w:i w:val="0"/>
        </w:rPr>
        <w:t>uveitis to prevent synechiae and relieve ciliary spasm</w:t>
      </w:r>
      <w:r>
        <w:rPr>
          <w:b w:val="0"/>
          <w:i w:val="0"/>
        </w:rPr>
        <w:t>. Both cause photosensitivity and blurred vision.</w:t>
      </w:r>
    </w:p>
    <w:p>
      <w:pPr>
        <w:spacing w:after="120"/>
      </w:pPr>
      <w:r>
        <w:rPr>
          <w:b/>
          <w:i w:val="0"/>
        </w:rPr>
        <w:t>Fluorescein</w:t>
      </w:r>
      <w:r>
        <w:rPr>
          <w:b w:val="0"/>
          <w:i w:val="0"/>
        </w:rPr>
        <w:t xml:space="preserve"> reveals </w:t>
      </w:r>
      <w:r>
        <w:rPr>
          <w:b/>
          <w:i w:val="0"/>
        </w:rPr>
        <w:t>epithelial defects of the cornea and conjunctiva</w:t>
      </w:r>
      <w:r>
        <w:rPr>
          <w:b w:val="0"/>
          <w:i w:val="0"/>
        </w:rPr>
        <w:t>, for anterior segment staining and disclosing corneal injury. Adverse effects are hypersensitivity and burning.</w:t>
      </w:r>
    </w:p>
    <w:p>
      <w:pPr>
        <w:spacing w:after="120"/>
      </w:pPr>
      <w:r>
        <w:rPr>
          <w:b w:val="0"/>
          <w:i w:val="0"/>
        </w:rPr>
        <w:t>Also tested</w:t>
      </w:r>
    </w:p>
    <w:p>
      <w:pPr>
        <w:pStyle w:val="ListBullet"/>
        <w:spacing w:after="40"/>
      </w:pPr>
      <w:r>
        <w:rPr>
          <w:b/>
          <w:i w:val="0"/>
          <w:sz w:val="20"/>
        </w:rPr>
        <w:t>Mydriatic anticholinergics.</w:t>
      </w:r>
      <w:r>
        <w:rPr>
          <w:b w:val="0"/>
          <w:i w:val="0"/>
          <w:sz w:val="20"/>
        </w:rPr>
        <w:t xml:space="preserve"> Atropine, cyclopentolate and tropicamide produce mydriasis because they competitively block muscarinic acetylcholine receptors, the opposite of pilocarpine's action.</w:t>
      </w:r>
    </w:p>
    <w:p>
      <w:pPr>
        <w:pStyle w:val="Heading2"/>
        <w:spacing w:before="200" w:after="100"/>
      </w:pPr>
      <w:r>
        <w:rPr>
          <w:rFonts w:ascii="Georgia" w:hAnsi="Georgia"/>
          <w:color w:val="6B3524"/>
        </w:rPr>
        <w:t>1.8 · Objectives 9–10 — Administration, monitoring and patient education</w:t>
      </w:r>
    </w:p>
    <w:p>
      <w:pPr>
        <w:spacing w:after="120"/>
      </w:pPr>
      <w:r>
        <w:rPr>
          <w:b/>
          <w:i w:val="0"/>
        </w:rPr>
        <w:t>Before any medication goes in the eye: measure visual acuity.</w:t>
      </w:r>
      <w:r>
        <w:rPr>
          <w:b w:val="0"/>
          <w:i w:val="0"/>
        </w:rPr>
        <w:t xml:space="preserve"> Document allergies and the date and result of the last eye exam. Repeat the acuity at </w:t>
      </w:r>
      <w:r>
        <w:rPr>
          <w:b w:val="0"/>
          <w:i/>
        </w:rPr>
        <w:t>every</w:t>
      </w:r>
      <w:r>
        <w:rPr>
          <w:b w:val="0"/>
          <w:i w:val="0"/>
        </w:rPr>
        <w:t xml:space="preserve"> follow-up — and </w:t>
      </w:r>
      <w:r>
        <w:rPr>
          <w:b w:val="0"/>
          <w:i w:val="0"/>
          <w:highlight w:val="yellow"/>
        </w:rPr>
        <w:t>if it gets worse, that is an immediate ophthalmology consult</w:t>
      </w:r>
      <w:r>
        <w:rPr>
          <w:b w:val="0"/>
          <w:i w:val="0"/>
        </w:rPr>
        <w:t>. The baseline exists so that sentence can be acted on.</w:t>
      </w:r>
    </w:p>
    <w:p>
      <w:pPr>
        <w:spacing w:after="120"/>
      </w:pPr>
      <w:r>
        <w:rPr>
          <w:b w:val="0"/>
          <w:i w:val="0"/>
        </w:rPr>
        <w:t xml:space="preserve">The instillation sequence, with the step he marks as most important first: </w:t>
      </w:r>
      <w:r>
        <w:rPr>
          <w:b/>
          <w:i w:val="0"/>
        </w:rPr>
        <w:t>wash hands thoroughly</w:t>
      </w:r>
      <w:r>
        <w:rPr>
          <w:b w:val="0"/>
          <w:i w:val="0"/>
        </w:rPr>
        <w:t xml:space="preserve">; do not let the dropper touch anything; tilt the head back and pull down the lower lid to form a pocket; hold the dropper close without contact; one drop into the pocket; </w:t>
      </w:r>
      <w:r>
        <w:rPr>
          <w:b/>
          <w:i w:val="0"/>
        </w:rPr>
        <w:t>close the eyes, tilt forward and hold a finger over the lacrimal duct</w:t>
      </w:r>
      <w:r>
        <w:rPr>
          <w:b w:val="0"/>
          <w:i w:val="0"/>
        </w:rPr>
        <w:t xml:space="preserve">; keep the eyes closed </w:t>
      </w:r>
      <w:r>
        <w:rPr>
          <w:b/>
          <w:i w:val="0"/>
        </w:rPr>
        <w:t>two to three minutes</w:t>
      </w:r>
      <w:r>
        <w:rPr>
          <w:b w:val="0"/>
          <w:i w:val="0"/>
        </w:rPr>
        <w:t>; wipe and wash again. The finger on the punctum is the same trick as the silicone plug — keep the drug on the eye and out of the circulation.</w:t>
      </w:r>
    </w:p>
    <w:p>
      <w:pPr>
        <w:spacing w:after="120"/>
      </w:pPr>
      <w:r>
        <w:rPr>
          <w:b/>
          <w:i w:val="0"/>
        </w:rPr>
        <w:t>Ointments</w:t>
      </w:r>
      <w:r>
        <w:rPr>
          <w:b w:val="0"/>
          <w:i w:val="0"/>
        </w:rPr>
        <w:t xml:space="preserve"> suit </w:t>
      </w:r>
      <w:r>
        <w:rPr>
          <w:b/>
          <w:i w:val="0"/>
        </w:rPr>
        <w:t>children and poor compliers</w:t>
      </w:r>
      <w:r>
        <w:rPr>
          <w:b w:val="0"/>
          <w:i w:val="0"/>
        </w:rPr>
        <w:t xml:space="preserve">, because they work even if the drug only reaches the lashes. Squeeze a ribbon into the pocket; there is </w:t>
      </w:r>
      <w:r>
        <w:rPr>
          <w:b/>
          <w:i w:val="0"/>
        </w:rPr>
        <w:t>no need to cover the duct</w:t>
      </w:r>
      <w:r>
        <w:rPr>
          <w:b w:val="0"/>
          <w:i w:val="0"/>
        </w:rPr>
        <w:t xml:space="preserve">. Warn that </w:t>
      </w:r>
      <w:r>
        <w:rPr>
          <w:b/>
          <w:i w:val="0"/>
        </w:rPr>
        <w:t>vision blurs for about 20 minutes</w:t>
      </w:r>
      <w:r>
        <w:rPr>
          <w:b w:val="0"/>
          <w:i w:val="0"/>
        </w:rPr>
        <w:t xml:space="preserve"> — no driving until it clears.</w:t>
      </w:r>
    </w:p>
    <w:p>
      <w:pPr>
        <w:spacing w:after="120"/>
      </w:pPr>
      <w:r>
        <w:rPr>
          <w:b/>
          <w:i w:val="0"/>
        </w:rPr>
        <w:t>Contact lenses</w:t>
      </w:r>
      <w:r>
        <w:rPr>
          <w:b w:val="0"/>
          <w:i w:val="0"/>
        </w:rPr>
        <w:t xml:space="preserve"> come out. With conjunctivitis, discontinue wear; resume once the eye is uninflamed and </w:t>
      </w:r>
      <w:r>
        <w:rPr>
          <w:b/>
          <w:i w:val="0"/>
        </w:rPr>
        <w:t>free of discharge for 24 hours</w:t>
      </w:r>
      <w:r>
        <w:rPr>
          <w:b w:val="0"/>
          <w:i w:val="0"/>
        </w:rPr>
        <w:t xml:space="preserve">; and the lens itself is </w:t>
      </w:r>
      <w:r>
        <w:rPr>
          <w:b/>
          <w:i w:val="0"/>
        </w:rPr>
        <w:t>discarded or disinfected</w:t>
      </w:r>
      <w:r>
        <w:rPr>
          <w:b w:val="0"/>
          <w:i w:val="0"/>
        </w:rPr>
        <w:t xml:space="preserve"> first. The eye makeup goes too.</w:t>
      </w:r>
    </w:p>
    <w:p>
      <w:pPr>
        <w:spacing w:after="120"/>
      </w:pPr>
      <w:r>
        <w:rPr>
          <w:b w:val="0"/>
          <w:i w:val="0"/>
        </w:rPr>
        <w:t>Also tested</w:t>
      </w:r>
    </w:p>
    <w:p>
      <w:pPr>
        <w:pStyle w:val="ListBullet"/>
        <w:spacing w:after="40"/>
      </w:pPr>
      <w:r>
        <w:rPr>
          <w:b/>
          <w:i w:val="0"/>
          <w:sz w:val="20"/>
        </w:rPr>
        <w:t>Lacrimal duct occlusion.</w:t>
      </w:r>
      <w:r>
        <w:rPr>
          <w:b w:val="0"/>
          <w:i w:val="0"/>
          <w:sz w:val="20"/>
        </w:rPr>
        <w:t xml:space="preserve"> After a drop, occluding the duct limits nasolacrimal drainage and the systemic absorption that follows it. An ointment is too viscous to drain away, so there is nothing to block.</w:t>
      </w:r>
    </w:p>
    <w:p>
      <w:pPr>
        <w:pStyle w:val="ListBullet"/>
        <w:spacing w:after="40"/>
      </w:pPr>
      <w:r>
        <w:rPr>
          <w:b/>
          <w:i w:val="0"/>
          <w:sz w:val="20"/>
        </w:rPr>
        <w:t>Instilling an eye drop.</w:t>
      </w:r>
      <w:r>
        <w:rPr>
          <w:b w:val="0"/>
          <w:i w:val="0"/>
          <w:sz w:val="20"/>
        </w:rPr>
        <w:t xml:space="preserve"> The single most important step is washing the hands thoroughly with soap and water, before anything else; the dropper must then not touch anything, so it stays sterile.</w:t>
      </w:r>
    </w:p>
    <w:p>
      <w:pPr>
        <w:pStyle w:val="ListBullet"/>
        <w:spacing w:after="40"/>
      </w:pPr>
      <w:r>
        <w:rPr>
          <w:b/>
          <w:i w:val="0"/>
          <w:sz w:val="20"/>
        </w:rPr>
        <w:t>Conjunctivitis in contact lens wearers.</w:t>
      </w:r>
      <w:r>
        <w:rPr>
          <w:b w:val="0"/>
          <w:i w:val="0"/>
          <w:sz w:val="20"/>
        </w:rPr>
        <w:t xml:space="preserve"> Stop wearing lenses and resume after 24 hours clear of inflammation, dealing with the lens itself; eye makeup should go too, since it is the other reservoir.</w:t>
      </w:r>
    </w:p>
    <w:p>
      <w:pPr>
        <w:pStyle w:val="ListBullet"/>
        <w:spacing w:after="40"/>
      </w:pPr>
      <w:r>
        <w:rPr>
          <w:b/>
          <w:i w:val="0"/>
          <w:sz w:val="20"/>
        </w:rPr>
        <w:t>Resuming lenses after conjunctivitis.</w:t>
      </w:r>
      <w:r>
        <w:rPr>
          <w:b w:val="0"/>
          <w:i w:val="0"/>
          <w:sz w:val="20"/>
        </w:rPr>
        <w:t xml:space="preserve"> Lenses may resume when the eye is not inflamed and there has been no discharge for 24 hours; the lens should be discarded or disinfected, and eye makeup discarded too.</w:t>
      </w:r>
    </w:p>
    <w:p>
      <w:pPr>
        <w:pStyle w:val="Heading1"/>
        <w:spacing w:before="280" w:after="100"/>
      </w:pPr>
      <w:r>
        <w:rPr>
          <w:rFonts w:ascii="Georgia" w:hAnsi="Georgia"/>
          <w:color w:val="6B3524"/>
        </w:rPr>
        <w:t>2 · Ear, Nose and Throat Drugs</w:t>
      </w:r>
    </w:p>
    <w:p>
      <w:pPr>
        <w:spacing w:after="120"/>
      </w:pPr>
      <w:r>
        <w:rPr>
          <w:b w:val="0"/>
          <w:i w:val="0"/>
        </w:rPr>
        <w:t>Adam Wood, Pharm.D., DABAT</w:t>
      </w:r>
    </w:p>
    <w:tbl>
      <w:tblPr>
        <w:tblW w:type="auto" w:w="0"/>
        <w:tblLook w:firstColumn="1" w:firstRow="1" w:lastColumn="0" w:lastRow="0" w:noHBand="0" w:noVBand="1" w:val="04A0"/>
        <w:tblBorders>
          <w:top w:val="single" w:sz="8" w:space="0" w:color="6B3524"/>
          <w:left w:val="single" w:sz="8" w:space="0" w:color="6B3524"/>
          <w:bottom w:val="single" w:sz="8" w:space="0" w:color="6B3524"/>
          <w:right w:val="single" w:sz="8" w:space="0" w:color="6B3524"/>
          <w:insideH w:val="single" w:sz="8" w:space="0" w:color="6B3524"/>
          <w:insideV w:val="single" w:sz="8" w:space="0" w:color="6B3524"/>
        </w:tblBorders>
      </w:tblPr>
      <w:tblGrid>
        <w:gridCol w:w="14544"/>
      </w:tblGrid>
      <w:tr>
        <w:tc>
          <w:tcPr>
            <w:tcW w:type="dxa" w:w="14544"/>
            <w:shd w:val="clear" w:color="auto" w:fill="EEF5F4"/>
          </w:tcPr>
          <w:p>
            <w:pPr>
              <w:spacing w:after="80"/>
            </w:pPr>
            <w:r>
              <w:rPr>
                <w:b/>
                <w:color w:val="6B3524"/>
                <w:sz w:val="18"/>
              </w:rPr>
              <w:t>INSTRUCTIONAL OBJECTIVES</w:t>
            </w:r>
          </w:p>
          <w:p>
            <w:pPr>
              <w:pStyle w:val="ListNumber"/>
              <w:spacing w:after="40"/>
            </w:pPr>
            <w:r>
              <w:rPr>
                <w:b w:val="0"/>
                <w:i w:val="0"/>
                <w:sz w:val="20"/>
              </w:rPr>
              <w:t>Identify ENT drug classes and commonly prescribed ENT drugs.</w:t>
            </w:r>
          </w:p>
          <w:p>
            <w:pPr>
              <w:pStyle w:val="ListNumber"/>
              <w:spacing w:after="40"/>
            </w:pPr>
            <w:r>
              <w:rPr>
                <w:b w:val="0"/>
                <w:i w:val="0"/>
                <w:sz w:val="20"/>
              </w:rPr>
              <w:t>Describe the molecular mechanism of action of ENT drugs.</w:t>
            </w:r>
          </w:p>
          <w:p>
            <w:pPr>
              <w:pStyle w:val="ListNumber"/>
              <w:spacing w:after="40"/>
            </w:pPr>
            <w:r>
              <w:rPr>
                <w:b w:val="0"/>
                <w:i w:val="0"/>
                <w:sz w:val="20"/>
              </w:rPr>
              <w:t>Identify indications for commonly used ENT drugs.</w:t>
            </w:r>
          </w:p>
          <w:p>
            <w:pPr>
              <w:pStyle w:val="ListNumber"/>
              <w:spacing w:after="40"/>
            </w:pPr>
            <w:r>
              <w:rPr>
                <w:b w:val="0"/>
                <w:i w:val="0"/>
                <w:sz w:val="20"/>
              </w:rPr>
              <w:t>Describe absorption, distribution, metabolism, and excretion of ENT drugs.</w:t>
            </w:r>
          </w:p>
          <w:p>
            <w:pPr>
              <w:pStyle w:val="ListNumber"/>
              <w:spacing w:after="40"/>
            </w:pPr>
            <w:r>
              <w:rPr>
                <w:b w:val="0"/>
                <w:i w:val="0"/>
                <w:sz w:val="20"/>
              </w:rPr>
              <w:t>Summarize side effects and toxic manifestations of ENT drugs.</w:t>
            </w:r>
          </w:p>
          <w:p>
            <w:pPr>
              <w:pStyle w:val="ListNumber"/>
              <w:spacing w:after="40"/>
            </w:pPr>
            <w:r>
              <w:rPr>
                <w:b w:val="0"/>
                <w:i w:val="0"/>
                <w:sz w:val="20"/>
              </w:rPr>
              <w:t>Describe adverse effects of ENT drugs.</w:t>
            </w:r>
          </w:p>
          <w:p>
            <w:pPr>
              <w:pStyle w:val="ListNumber"/>
              <w:spacing w:after="40"/>
            </w:pPr>
            <w:r>
              <w:rPr>
                <w:b w:val="0"/>
                <w:i w:val="0"/>
                <w:sz w:val="20"/>
              </w:rPr>
              <w:t>Identify contraindications for ENT drugs.</w:t>
            </w:r>
          </w:p>
          <w:p>
            <w:pPr>
              <w:pStyle w:val="ListNumber"/>
              <w:spacing w:after="40"/>
            </w:pPr>
            <w:r>
              <w:rPr>
                <w:b w:val="0"/>
                <w:i w:val="0"/>
                <w:sz w:val="20"/>
              </w:rPr>
              <w:t>Discuss potential drug-drug, drug-food, and drug-herb interactions with ENT drugs.</w:t>
            </w:r>
          </w:p>
          <w:p>
            <w:pPr>
              <w:pStyle w:val="ListNumber"/>
              <w:spacing w:after="40"/>
            </w:pPr>
            <w:r>
              <w:rPr>
                <w:b w:val="0"/>
                <w:i w:val="0"/>
                <w:sz w:val="20"/>
              </w:rPr>
              <w:t>List commonly used protocols and patient monitoring for ENT drugs.</w:t>
            </w:r>
          </w:p>
          <w:p>
            <w:pPr>
              <w:pStyle w:val="ListNumber"/>
              <w:spacing w:after="40"/>
            </w:pPr>
            <w:r>
              <w:rPr>
                <w:b w:val="0"/>
                <w:i w:val="0"/>
                <w:sz w:val="20"/>
              </w:rPr>
              <w:t>Outline appropriate patient education for ENT drugs.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How this lecture is examined.</w:t>
            </w:r>
            <w:r>
              <w:rPr>
                <w:b w:val="0"/>
                <w:i w:val="0"/>
              </w:rPr>
              <w:t xml:space="preserve"> ENT (ear, nose and throat) drugs are taught agent by agent, most on a one-slide card: class, mechanism, indications, side effects, interactions, contraindications, patient education. </w:t>
            </w:r>
            <w:r>
              <w:rPr>
                <w:b/>
                <w:i w:val="0"/>
              </w:rPr>
              <w:t>Doses are not examined</w:t>
            </w:r>
            <w:r>
              <w:rPr>
                <w:b w:val="0"/>
                <w:i w:val="0"/>
              </w:rPr>
              <w:t xml:space="preserve">, so the milligram figures on those cards are left out of this guide. </w:t>
            </w:r>
            <w:r>
              <w:rPr>
                <w:b/>
                <w:i w:val="0"/>
              </w:rPr>
              <w:t>Indications and the adverse effects that belong to a specific agent are examined</w:t>
            </w:r>
            <w:r>
              <w:rPr>
                <w:b w:val="0"/>
                <w:i w:val="0"/>
              </w:rPr>
              <w:t xml:space="preserve"> — which antibiotic replaces amoxicillin in penicillin allergy, which otic drop is unsafe through a perforated eardrum, which antihistamine sedates. Two slides (28 and 37) hold their tables inside embedded documents that do not show up in a text copy of the deck; both tables are reproduced below.</w:t>
            </w:r>
          </w:p>
        </w:tc>
      </w:tr>
    </w:tbl>
    <w:p>
      <w:pPr>
        <w:spacing w:after="80"/>
      </w:pPr>
    </w:p>
    <w:p>
      <w:pPr>
        <w:pStyle w:val="Heading2"/>
        <w:spacing w:before="200" w:after="100"/>
      </w:pPr>
      <w:r>
        <w:rPr>
          <w:rFonts w:ascii="Georgia" w:hAnsi="Georgia"/>
          <w:color w:val="6B3524"/>
        </w:rPr>
        <w:t>2.1 · Objectives 1–3 — Antibiotics for ear, sinus and throat infections</w:t>
      </w:r>
    </w:p>
    <w:p>
      <w:pPr>
        <w:spacing w:after="120"/>
      </w:pPr>
      <w:r>
        <w:rPr>
          <w:b w:val="0"/>
          <w:i w:val="0"/>
        </w:rPr>
        <w:t xml:space="preserve">Three infections share one set of bacteria and one first-line drug. </w:t>
      </w:r>
      <w:r>
        <w:rPr>
          <w:b/>
          <w:i w:val="0"/>
        </w:rPr>
        <w:t>Acute otitis media</w:t>
      </w:r>
      <w:r>
        <w:rPr>
          <w:b w:val="0"/>
          <w:i w:val="0"/>
        </w:rPr>
        <w:t xml:space="preserve"> is caused by viruses more often than bacteria; when bacteria are involved they are </w:t>
      </w:r>
      <w:r>
        <w:rPr>
          <w:b/>
          <w:i/>
        </w:rPr>
        <w:t>Streptococcus pneumoniae</w:t>
      </w:r>
      <w:r>
        <w:rPr>
          <w:b/>
          <w:i w:val="0"/>
        </w:rPr>
        <w:t xml:space="preserve">, </w:t>
      </w:r>
      <w:r>
        <w:rPr>
          <w:b/>
          <w:i/>
        </w:rPr>
        <w:t>Haemophilus influenzae</w:t>
      </w:r>
      <w:r>
        <w:rPr>
          <w:b/>
          <w:i w:val="0"/>
        </w:rPr>
        <w:t xml:space="preserve"> and </w:t>
      </w:r>
      <w:r>
        <w:rPr>
          <w:b/>
          <w:i/>
        </w:rPr>
        <w:t>Moraxella catarrhalis</w:t>
      </w:r>
      <w:r>
        <w:rPr>
          <w:b w:val="0"/>
          <w:i w:val="0"/>
        </w:rPr>
        <w:t xml:space="preserve">, in that order of frequency, and the mix is shifting with vaccination. </w:t>
      </w:r>
      <w:r>
        <w:rPr>
          <w:b/>
          <w:i w:val="0"/>
        </w:rPr>
        <w:t>Acute bacterial rhinosinusitis</w:t>
      </w:r>
      <w:r>
        <w:rPr>
          <w:b w:val="0"/>
          <w:i w:val="0"/>
        </w:rPr>
        <w:t xml:space="preserve"> has the same three, plus </w:t>
      </w:r>
      <w:r>
        <w:rPr>
          <w:b w:val="0"/>
          <w:i/>
        </w:rPr>
        <w:t>Streptococcus pyogenes</w:t>
      </w:r>
      <w:r>
        <w:rPr>
          <w:b w:val="0"/>
          <w:i w:val="0"/>
        </w:rPr>
        <w:t xml:space="preserve">, </w:t>
      </w:r>
      <w:r>
        <w:rPr>
          <w:b w:val="0"/>
          <w:i/>
        </w:rPr>
        <w:t>Staphylococcus aureus</w:t>
      </w:r>
      <w:r>
        <w:rPr>
          <w:b w:val="0"/>
          <w:i w:val="0"/>
        </w:rPr>
        <w:t xml:space="preserve"> and gram-negative bacilli. </w:t>
      </w:r>
      <w:r>
        <w:rPr>
          <w:b/>
          <w:i w:val="0"/>
        </w:rPr>
        <w:t>Acute pharyngitis</w:t>
      </w:r>
      <w:r>
        <w:rPr>
          <w:b w:val="0"/>
          <w:i w:val="0"/>
        </w:rPr>
        <w:t xml:space="preserve"> is mainly viral; </w:t>
      </w:r>
      <w:r>
        <w:rPr>
          <w:b/>
          <w:i w:val="0"/>
        </w:rPr>
        <w:t xml:space="preserve">group A beta-hemolytic </w:t>
      </w:r>
      <w:r>
        <w:rPr>
          <w:b/>
          <w:i/>
        </w:rPr>
        <w:t>Streptococcus</w:t>
      </w:r>
      <w:r>
        <w:rPr>
          <w:b w:val="0"/>
          <w:i w:val="0"/>
        </w:rPr>
        <w:t xml:space="preserve"> accounts for 15 to 30% of cases.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6B3524"/>
          </w:tcPr>
          <w:p>
            <w:pPr>
              <w:spacing w:after="40"/>
            </w:pPr>
            <w:r>
              <w:rPr>
                <w:b/>
                <w:color w:val="FFFFFF"/>
                <w:sz w:val="18"/>
              </w:rPr>
            </w:r>
            <w:r>
              <w:rPr>
                <w:b/>
                <w:i w:val="0"/>
                <w:color w:val="FFFFFF"/>
                <w:sz w:val="18"/>
              </w:rPr>
              <w:t>Infection</w:t>
            </w:r>
          </w:p>
        </w:tc>
        <w:tc>
          <w:tcPr>
            <w:tcW w:type="dxa" w:w="3636"/>
            <w:shd w:val="clear" w:color="auto" w:fill="6B3524"/>
          </w:tcPr>
          <w:p>
            <w:pPr>
              <w:spacing w:after="40"/>
            </w:pPr>
            <w:r>
              <w:rPr>
                <w:b/>
                <w:color w:val="FFFFFF"/>
                <w:sz w:val="18"/>
              </w:rPr>
            </w:r>
            <w:r>
              <w:rPr>
                <w:b/>
                <w:i w:val="0"/>
                <w:color w:val="FFFFFF"/>
                <w:sz w:val="18"/>
              </w:rPr>
              <w:t>First line</w:t>
            </w:r>
          </w:p>
        </w:tc>
        <w:tc>
          <w:tcPr>
            <w:tcW w:type="dxa" w:w="3636"/>
            <w:shd w:val="clear" w:color="auto" w:fill="6B3524"/>
          </w:tcPr>
          <w:p>
            <w:pPr>
              <w:spacing w:after="40"/>
            </w:pPr>
            <w:r>
              <w:rPr>
                <w:b/>
                <w:color w:val="FFFFFF"/>
                <w:sz w:val="18"/>
              </w:rPr>
            </w:r>
            <w:r>
              <w:rPr>
                <w:b/>
                <w:i w:val="0"/>
                <w:color w:val="FFFFFF"/>
                <w:sz w:val="18"/>
              </w:rPr>
              <w:t>Step up / failure</w:t>
            </w:r>
          </w:p>
        </w:tc>
        <w:tc>
          <w:tcPr>
            <w:tcW w:type="dxa" w:w="3636"/>
            <w:shd w:val="clear" w:color="auto" w:fill="6B3524"/>
          </w:tcPr>
          <w:p>
            <w:pPr>
              <w:spacing w:after="40"/>
            </w:pPr>
            <w:r>
              <w:rPr>
                <w:b/>
                <w:color w:val="FFFFFF"/>
                <w:sz w:val="18"/>
              </w:rPr>
            </w:r>
            <w:r>
              <w:rPr>
                <w:b/>
                <w:i w:val="0"/>
                <w:color w:val="FFFFFF"/>
                <w:sz w:val="18"/>
              </w:rPr>
              <w:t>Penicillin allergy</w:t>
            </w:r>
          </w:p>
        </w:tc>
      </w:tr>
      <w:tr>
        <w:tc>
          <w:tcPr>
            <w:tcW w:type="dxa" w:w="3636"/>
          </w:tcPr>
          <w:p>
            <w:pPr>
              <w:spacing w:after="40"/>
            </w:pPr>
            <w:r>
              <w:rPr>
                <w:sz w:val="18"/>
              </w:rPr>
            </w:r>
            <w:r>
              <w:rPr>
                <w:b w:val="0"/>
                <w:i w:val="0"/>
                <w:sz w:val="18"/>
              </w:rPr>
              <w:t>Acute otitis media</w:t>
            </w:r>
          </w:p>
        </w:tc>
        <w:tc>
          <w:tcPr>
            <w:tcW w:type="dxa" w:w="3636"/>
          </w:tcPr>
          <w:p>
            <w:pPr>
              <w:spacing w:after="40"/>
            </w:pPr>
            <w:r>
              <w:rPr>
                <w:sz w:val="18"/>
              </w:rPr>
            </w:r>
            <w:r>
              <w:rPr>
                <w:b/>
                <w:i w:val="0"/>
                <w:sz w:val="18"/>
              </w:rPr>
              <w:t>High-dose amoxicillin</w:t>
            </w:r>
            <w:r>
              <w:rPr>
                <w:b w:val="0"/>
                <w:i w:val="0"/>
                <w:sz w:val="18"/>
              </w:rPr>
              <w:t xml:space="preserve"> — the higher dose overcomes </w:t>
            </w:r>
            <w:r>
              <w:rPr>
                <w:b w:val="0"/>
                <w:i/>
                <w:sz w:val="18"/>
              </w:rPr>
              <w:t>S. pneumoniae</w:t>
            </w:r>
            <w:r>
              <w:rPr>
                <w:b w:val="0"/>
                <w:i w:val="0"/>
                <w:sz w:val="18"/>
              </w:rPr>
              <w:t xml:space="preserve"> resistance</w:t>
            </w:r>
          </w:p>
        </w:tc>
        <w:tc>
          <w:tcPr>
            <w:tcW w:type="dxa" w:w="3636"/>
          </w:tcPr>
          <w:p>
            <w:pPr>
              <w:spacing w:after="40"/>
            </w:pPr>
            <w:r>
              <w:rPr>
                <w:sz w:val="18"/>
              </w:rPr>
            </w:r>
            <w:r>
              <w:rPr>
                <w:b w:val="0"/>
                <w:i w:val="0"/>
                <w:sz w:val="18"/>
              </w:rPr>
              <w:t xml:space="preserve">Amoxicillin-clavulanate for severe or resistant disease, or if antibiotics were taken in the previous month. </w:t>
            </w:r>
            <w:r>
              <w:rPr>
                <w:b/>
                <w:i w:val="0"/>
                <w:sz w:val="18"/>
              </w:rPr>
              <w:t>No improvement in 3 days</w:t>
            </w:r>
            <w:r>
              <w:rPr>
                <w:b w:val="0"/>
                <w:i w:val="0"/>
                <w:sz w:val="18"/>
              </w:rPr>
              <w:t xml:space="preserve"> = failed therapy: amoxicillin-clavulanate or a third-generation cephalosporin (cefdinir) if no antibiotics in the past 3 months; </w:t>
            </w:r>
            <w:r>
              <w:rPr>
                <w:b/>
                <w:i w:val="0"/>
                <w:sz w:val="18"/>
              </w:rPr>
              <w:t>ceftriaxone</w:t>
            </w:r>
            <w:r>
              <w:rPr>
                <w:b w:val="0"/>
                <w:i w:val="0"/>
                <w:sz w:val="18"/>
              </w:rPr>
              <w:t xml:space="preserve"> intramuscular or intravenous if that fails or oral drugs are not tolerated</w:t>
            </w:r>
          </w:p>
        </w:tc>
        <w:tc>
          <w:tcPr>
            <w:tcW w:type="dxa" w:w="3636"/>
          </w:tcPr>
          <w:p>
            <w:pPr>
              <w:spacing w:after="40"/>
            </w:pPr>
            <w:r>
              <w:rPr>
                <w:sz w:val="18"/>
              </w:rPr>
            </w:r>
            <w:r>
              <w:rPr>
                <w:b w:val="0"/>
                <w:i w:val="0"/>
                <w:sz w:val="18"/>
              </w:rPr>
              <w:t xml:space="preserve">Cefdinir or azithromycin — but up to 50% of </w:t>
            </w:r>
            <w:r>
              <w:rPr>
                <w:b w:val="0"/>
                <w:i/>
                <w:sz w:val="18"/>
              </w:rPr>
              <w:t>S. pneumoniae</w:t>
            </w:r>
            <w:r>
              <w:rPr>
                <w:b w:val="0"/>
                <w:i w:val="0"/>
                <w:sz w:val="18"/>
              </w:rPr>
              <w:t xml:space="preserve"> is macrolide-resistant</w:t>
            </w:r>
          </w:p>
        </w:tc>
      </w:tr>
      <w:tr>
        <w:tc>
          <w:tcPr>
            <w:tcW w:type="dxa" w:w="3636"/>
          </w:tcPr>
          <w:p>
            <w:pPr>
              <w:spacing w:after="40"/>
            </w:pPr>
            <w:r>
              <w:rPr>
                <w:sz w:val="18"/>
              </w:rPr>
            </w:r>
            <w:r>
              <w:rPr>
                <w:b w:val="0"/>
                <w:i w:val="0"/>
                <w:sz w:val="18"/>
              </w:rPr>
              <w:t>Acute bacterial rhinosinusitis</w:t>
            </w:r>
          </w:p>
        </w:tc>
        <w:tc>
          <w:tcPr>
            <w:tcW w:type="dxa" w:w="3636"/>
          </w:tcPr>
          <w:p>
            <w:pPr>
              <w:spacing w:after="40"/>
            </w:pPr>
            <w:r>
              <w:rPr>
                <w:sz w:val="18"/>
              </w:rPr>
            </w:r>
            <w:r>
              <w:rPr>
                <w:b/>
                <w:i w:val="0"/>
                <w:sz w:val="18"/>
              </w:rPr>
              <w:t>Amoxicillin-clavulanate</w:t>
            </w:r>
            <w:r>
              <w:rPr>
                <w:b w:val="0"/>
                <w:i w:val="0"/>
                <w:sz w:val="18"/>
              </w:rPr>
              <w:t xml:space="preserve"> — because beta-lactamase-producing </w:t>
            </w:r>
            <w:r>
              <w:rPr>
                <w:b w:val="0"/>
                <w:i/>
                <w:sz w:val="18"/>
              </w:rPr>
              <w:t>H. influenzae</w:t>
            </w:r>
            <w:r>
              <w:rPr>
                <w:b w:val="0"/>
                <w:i w:val="0"/>
                <w:sz w:val="18"/>
              </w:rPr>
              <w:t xml:space="preserve"> is common</w:t>
            </w:r>
          </w:p>
        </w:tc>
        <w:tc>
          <w:tcPr>
            <w:tcW w:type="dxa" w:w="3636"/>
          </w:tcPr>
          <w:p>
            <w:pPr>
              <w:spacing w:after="40"/>
            </w:pPr>
            <w:r>
              <w:rPr>
                <w:sz w:val="18"/>
              </w:rPr>
            </w:r>
            <w:r>
              <w:rPr>
                <w:b w:val="0"/>
                <w:i w:val="0"/>
                <w:sz w:val="18"/>
              </w:rPr>
              <w:t>Saline irrigation can help alongside</w:t>
            </w:r>
          </w:p>
        </w:tc>
        <w:tc>
          <w:tcPr>
            <w:tcW w:type="dxa" w:w="3636"/>
          </w:tcPr>
          <w:p>
            <w:pPr>
              <w:spacing w:after="40"/>
            </w:pPr>
            <w:r>
              <w:rPr>
                <w:sz w:val="18"/>
              </w:rPr>
            </w:r>
            <w:r>
              <w:rPr>
                <w:b/>
                <w:i w:val="0"/>
                <w:sz w:val="18"/>
              </w:rPr>
              <w:t>Clindamycin plus cefixime</w:t>
            </w:r>
            <w:r>
              <w:rPr>
                <w:b w:val="0"/>
                <w:i w:val="0"/>
                <w:sz w:val="18"/>
              </w:rPr>
              <w:t xml:space="preserve">, or </w:t>
            </w:r>
            <w:r>
              <w:rPr>
                <w:b/>
                <w:i w:val="0"/>
                <w:sz w:val="18"/>
              </w:rPr>
              <w:t>levofloxacin</w:t>
            </w:r>
          </w:p>
        </w:tc>
      </w:tr>
      <w:tr>
        <w:tc>
          <w:tcPr>
            <w:tcW w:type="dxa" w:w="3636"/>
          </w:tcPr>
          <w:p>
            <w:pPr>
              <w:spacing w:after="40"/>
            </w:pPr>
            <w:r>
              <w:rPr>
                <w:sz w:val="18"/>
              </w:rPr>
            </w:r>
            <w:r>
              <w:rPr>
                <w:b w:val="0"/>
                <w:i w:val="0"/>
                <w:sz w:val="18"/>
              </w:rPr>
              <w:t>Acute pharyngitis (group A strep)</w:t>
            </w:r>
          </w:p>
        </w:tc>
        <w:tc>
          <w:tcPr>
            <w:tcW w:type="dxa" w:w="3636"/>
          </w:tcPr>
          <w:p>
            <w:pPr>
              <w:spacing w:after="40"/>
            </w:pPr>
            <w:r>
              <w:rPr>
                <w:sz w:val="18"/>
              </w:rPr>
            </w:r>
            <w:r>
              <w:rPr>
                <w:b/>
                <w:i w:val="0"/>
                <w:sz w:val="18"/>
              </w:rPr>
              <w:t>Amoxicillin</w:t>
            </w:r>
            <w:r>
              <w:rPr>
                <w:b w:val="0"/>
                <w:i w:val="0"/>
                <w:sz w:val="18"/>
              </w:rPr>
              <w:t xml:space="preserve"> for 10 days, or </w:t>
            </w:r>
            <w:r>
              <w:rPr>
                <w:b/>
                <w:i w:val="0"/>
                <w:sz w:val="18"/>
              </w:rPr>
              <w:t>benzathine penicillin G</w:t>
            </w:r>
            <w:r>
              <w:rPr>
                <w:b w:val="0"/>
                <w:i w:val="0"/>
                <w:sz w:val="18"/>
              </w:rPr>
              <w:t xml:space="preserve"> as a single intramuscular injection</w:t>
            </w:r>
          </w:p>
        </w:tc>
        <w:tc>
          <w:tcPr>
            <w:tcW w:type="dxa" w:w="3636"/>
          </w:tcPr>
          <w:p>
            <w:pPr>
              <w:spacing w:after="40"/>
            </w:pPr>
            <w:r>
              <w:rPr>
                <w:sz w:val="18"/>
              </w:rPr>
            </w:r>
            <w:r>
              <w:rPr>
                <w:b w:val="0"/>
                <w:i w:val="0"/>
                <w:sz w:val="18"/>
              </w:rPr>
              <w:t>—</w:t>
            </w:r>
          </w:p>
        </w:tc>
        <w:tc>
          <w:tcPr>
            <w:tcW w:type="dxa" w:w="3636"/>
          </w:tcPr>
          <w:p>
            <w:pPr>
              <w:spacing w:after="40"/>
            </w:pPr>
            <w:r>
              <w:rPr>
                <w:sz w:val="18"/>
              </w:rPr>
            </w:r>
            <w:r>
              <w:rPr>
                <w:b w:val="0"/>
                <w:i w:val="0"/>
                <w:sz w:val="18"/>
              </w:rPr>
              <w:t>Cephalexin, clindamycin or azithromycin</w:t>
            </w:r>
          </w:p>
        </w:tc>
      </w:tr>
    </w:tbl>
    <w:p>
      <w:pPr>
        <w:spacing w:after="80"/>
      </w:pPr>
    </w:p>
    <w:p>
      <w:pPr>
        <w:spacing w:after="120"/>
      </w:pPr>
      <w:r>
        <w:rPr>
          <w:b/>
          <w:i w:val="0"/>
        </w:rPr>
        <w:t>Two decisions that come before the drug.</w:t>
      </w:r>
      <w:r>
        <w:rPr>
          <w:b w:val="0"/>
          <w:i w:val="0"/>
        </w:rPr>
        <w:t xml:space="preserve"> Sinusitis is only called bacterial when symptoms have lasted </w:t>
      </w:r>
      <w:r>
        <w:rPr>
          <w:b/>
          <w:i w:val="0"/>
        </w:rPr>
        <w:t>more than 10 days</w:t>
      </w:r>
      <w:r>
        <w:rPr>
          <w:b w:val="0"/>
          <w:i w:val="0"/>
        </w:rPr>
        <w:t xml:space="preserve"> or are </w:t>
      </w:r>
      <w:r>
        <w:rPr>
          <w:b/>
          <w:i w:val="0"/>
        </w:rPr>
        <w:t>worsening</w:t>
      </w:r>
      <w:r>
        <w:rPr>
          <w:b w:val="0"/>
          <w:i w:val="0"/>
        </w:rPr>
        <w:t xml:space="preserve"> — before that it is presumed viral and an antibiotic helps no one. In pharyngitis the goal of treatment is to </w:t>
      </w:r>
      <w:r>
        <w:rPr>
          <w:b/>
          <w:i w:val="0"/>
        </w:rPr>
        <w:t>prevent acute rheumatic fever and suppurative complications</w:t>
      </w:r>
      <w:r>
        <w:rPr>
          <w:b w:val="0"/>
          <w:i w:val="0"/>
        </w:rPr>
        <w:t xml:space="preserve">, and a </w:t>
      </w:r>
      <w:r>
        <w:rPr>
          <w:b/>
          <w:i w:val="0"/>
        </w:rPr>
        <w:t>rapid strep test</w:t>
      </w:r>
      <w:r>
        <w:rPr>
          <w:b w:val="0"/>
          <w:i w:val="0"/>
        </w:rPr>
        <w:t xml:space="preserve"> is used to stop over-prescribing to the viral majority.</w:t>
      </w:r>
    </w:p>
    <w:p>
      <w:pPr>
        <w:spacing w:after="120"/>
      </w:pPr>
      <w:r>
        <w:rPr>
          <w:b w:val="0"/>
          <w:i w:val="0"/>
        </w:rPr>
        <w:t>Each amoxicillin substitution has a reason worth being able to say out loud. Clavulanate is added when a beta-lactamase producer is likely (sinusitis, recent antibiotics, treatment failure). The macrolide is an allergy option in otitis media, not an equal — half the pneumococci may resist it. Ceftriaxone is the escalation because it is parenteral.</w:t>
      </w:r>
    </w:p>
    <w:p>
      <w:pPr>
        <w:spacing w:after="120"/>
      </w:pPr>
      <w:r>
        <w:rPr>
          <w:b w:val="0"/>
          <w:i w:val="0"/>
        </w:rPr>
        <w:t>Also tested</w:t>
      </w:r>
    </w:p>
    <w:p>
      <w:pPr>
        <w:pStyle w:val="ListBullet"/>
        <w:spacing w:after="40"/>
      </w:pPr>
      <w:r>
        <w:rPr>
          <w:b/>
          <w:i w:val="0"/>
          <w:sz w:val="20"/>
        </w:rPr>
        <w:t>Acute otitis media after recent antibiotics.</w:t>
      </w:r>
      <w:r>
        <w:rPr>
          <w:b w:val="0"/>
          <w:i w:val="0"/>
          <w:sz w:val="20"/>
        </w:rPr>
        <w:t xml:space="preserve"> In a child who finished antibiotics recently, amoxicillin-clavulanate is used instead, because recent exposure selects for beta-lactamase producers, which the clavulanate covers.</w:t>
      </w:r>
    </w:p>
    <w:p>
      <w:pPr>
        <w:pStyle w:val="ListBullet"/>
        <w:spacing w:after="40"/>
      </w:pPr>
      <w:r>
        <w:rPr>
          <w:b/>
          <w:i w:val="0"/>
          <w:sz w:val="20"/>
        </w:rPr>
        <w:t>Acute otitis media without recent antibiotics.</w:t>
      </w:r>
      <w:r>
        <w:rPr>
          <w:b w:val="0"/>
          <w:i w:val="0"/>
          <w:sz w:val="20"/>
        </w:rPr>
        <w:t xml:space="preserve"> Amoxicillin, at a high dose, is the mainstay and first line; the high dose is what overcomes the resistant pneumococcus.</w:t>
      </w:r>
    </w:p>
    <w:p>
      <w:pPr>
        <w:pStyle w:val="ListBullet"/>
        <w:spacing w:after="40"/>
      </w:pPr>
      <w:r>
        <w:rPr>
          <w:b/>
          <w:i w:val="0"/>
          <w:sz w:val="20"/>
        </w:rPr>
        <w:t>Viral acute otitis media.</w:t>
      </w:r>
      <w:r>
        <w:rPr>
          <w:b w:val="0"/>
          <w:i w:val="0"/>
          <w:sz w:val="20"/>
        </w:rPr>
        <w:t xml:space="preserve"> Most cases are viral, or viral with bacteria alongside, which is one reason antibiotics are not automatic in every case.</w:t>
      </w:r>
    </w:p>
    <w:p>
      <w:pPr>
        <w:pStyle w:val="ListBullet"/>
        <w:spacing w:after="40"/>
      </w:pPr>
      <w:r>
        <w:rPr>
          <w:b/>
          <w:i w:val="0"/>
          <w:sz w:val="20"/>
        </w:rPr>
        <w:t>Macrolides in acute otitis media.</w:t>
      </w:r>
      <w:r>
        <w:rPr>
          <w:b w:val="0"/>
          <w:i w:val="0"/>
          <w:sz w:val="20"/>
        </w:rPr>
        <w:t xml:space="preserve"> They remain an option for the penicillin-allergic patient but are a weak choice, because up to half of pneumococci are resistant to macrolides.</w:t>
      </w:r>
    </w:p>
    <w:p>
      <w:pPr>
        <w:pStyle w:val="ListBullet"/>
        <w:spacing w:after="40"/>
      </w:pPr>
      <w:r>
        <w:rPr>
          <w:b/>
          <w:i w:val="0"/>
          <w:sz w:val="20"/>
        </w:rPr>
        <w:t>Viral versus bacterial rhinosinusitis.</w:t>
      </w:r>
      <w:r>
        <w:rPr>
          <w:b w:val="0"/>
          <w:i w:val="0"/>
          <w:sz w:val="20"/>
        </w:rPr>
        <w:t xml:space="preserve"> Symptoms beyond ten days, or worsening after five to six days, decide that an antibiotic is given; the timeline does the work because nothing on examination reliably separates the two.</w:t>
      </w:r>
    </w:p>
    <w:p>
      <w:pPr>
        <w:pStyle w:val="Heading2"/>
        <w:spacing w:before="200" w:after="100"/>
      </w:pPr>
      <w:r>
        <w:rPr>
          <w:rFonts w:ascii="Georgia" w:hAnsi="Georgia"/>
          <w:color w:val="6B3524"/>
        </w:rPr>
        <w:t>2.2 · Objectives 1–7 — Otic antibiotics</w:t>
      </w:r>
    </w:p>
    <w:p>
      <w:pPr>
        <w:spacing w:after="120"/>
      </w:pPr>
      <w:r>
        <w:rPr>
          <w:b w:val="0"/>
          <w:i w:val="0"/>
        </w:rPr>
        <w:t xml:space="preserve">Ear drops usually </w:t>
      </w:r>
      <w:r>
        <w:rPr>
          <w:b/>
          <w:i w:val="0"/>
        </w:rPr>
        <w:t>mix an anti-infective with a glucocorticoid</w:t>
      </w:r>
      <w:r>
        <w:rPr>
          <w:b w:val="0"/>
          <w:i w:val="0"/>
        </w:rPr>
        <w:t xml:space="preserve">: the antibiotic inhibits bacterial growth and the steroid decreases production of inflammatory cytokines. The agents on the slide are </w:t>
      </w:r>
      <w:r>
        <w:rPr>
          <w:b/>
          <w:i w:val="0"/>
        </w:rPr>
        <w:t>ciprofloxacin</w:t>
      </w:r>
      <w:r>
        <w:rPr>
          <w:b w:val="0"/>
          <w:i w:val="0"/>
        </w:rPr>
        <w:t xml:space="preserve">, </w:t>
      </w:r>
      <w:r>
        <w:rPr>
          <w:b/>
          <w:i w:val="0"/>
        </w:rPr>
        <w:t>ciprofloxacin/dexamethasone (Ciprodex)</w:t>
      </w:r>
      <w:r>
        <w:rPr>
          <w:b w:val="0"/>
          <w:i w:val="0"/>
        </w:rPr>
        <w:t xml:space="preserve">, </w:t>
      </w:r>
      <w:r>
        <w:rPr>
          <w:b/>
          <w:i w:val="0"/>
        </w:rPr>
        <w:t>neomycin, polymyxin B and hydrocortisone (Cortisporin)</w:t>
      </w:r>
      <w:r>
        <w:rPr>
          <w:b w:val="0"/>
          <w:i w:val="0"/>
        </w:rPr>
        <w:t xml:space="preserve">, and </w:t>
      </w:r>
      <w:r>
        <w:rPr>
          <w:b/>
          <w:i w:val="0"/>
        </w:rPr>
        <w:t>ofloxacin</w:t>
      </w:r>
      <w:r>
        <w:rPr>
          <w:b w:val="0"/>
          <w:i w:val="0"/>
        </w:rPr>
        <w:t>. Indications: otitis media and otitis externa.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Agent</w:t>
            </w:r>
          </w:p>
        </w:tc>
        <w:tc>
          <w:tcPr>
            <w:tcW w:type="dxa" w:w="7272"/>
            <w:shd w:val="clear" w:color="auto" w:fill="6B3524"/>
          </w:tcPr>
          <w:p>
            <w:pPr>
              <w:spacing w:after="40"/>
            </w:pPr>
            <w:r>
              <w:rPr>
                <w:b/>
                <w:color w:val="FFFFFF"/>
                <w:sz w:val="18"/>
              </w:rPr>
            </w:r>
            <w:r>
              <w:rPr>
                <w:b/>
                <w:i w:val="0"/>
                <w:color w:val="FFFFFF"/>
                <w:sz w:val="18"/>
              </w:rPr>
              <w:t>The fact that names it</w:t>
            </w:r>
          </w:p>
        </w:tc>
      </w:tr>
      <w:tr>
        <w:tc>
          <w:tcPr>
            <w:tcW w:type="dxa" w:w="7272"/>
          </w:tcPr>
          <w:p>
            <w:pPr>
              <w:spacing w:after="40"/>
            </w:pPr>
            <w:r>
              <w:rPr>
                <w:sz w:val="18"/>
              </w:rPr>
            </w:r>
            <w:r>
              <w:rPr>
                <w:b w:val="0"/>
                <w:i w:val="0"/>
                <w:sz w:val="18"/>
              </w:rPr>
              <w:t>Neomycin</w:t>
            </w:r>
          </w:p>
        </w:tc>
        <w:tc>
          <w:tcPr>
            <w:tcW w:type="dxa" w:w="7272"/>
          </w:tcPr>
          <w:p>
            <w:pPr>
              <w:spacing w:after="40"/>
            </w:pPr>
            <w:r>
              <w:rPr>
                <w:sz w:val="18"/>
              </w:rPr>
            </w:r>
            <w:r>
              <w:rPr>
                <w:b w:val="0"/>
                <w:i w:val="0"/>
                <w:sz w:val="18"/>
              </w:rPr>
              <w:t xml:space="preserve">Chance of </w:t>
            </w:r>
            <w:r>
              <w:rPr>
                <w:b/>
                <w:i w:val="0"/>
                <w:sz w:val="18"/>
              </w:rPr>
              <w:t>hypersensitivity</w:t>
            </w:r>
          </w:p>
        </w:tc>
      </w:tr>
      <w:tr>
        <w:tc>
          <w:tcPr>
            <w:tcW w:type="dxa" w:w="7272"/>
          </w:tcPr>
          <w:p>
            <w:pPr>
              <w:spacing w:after="40"/>
            </w:pPr>
            <w:r>
              <w:rPr>
                <w:sz w:val="18"/>
              </w:rPr>
            </w:r>
            <w:r>
              <w:rPr>
                <w:b w:val="0"/>
                <w:i w:val="0"/>
                <w:sz w:val="18"/>
              </w:rPr>
              <w:t>Polymyxin B</w:t>
            </w:r>
          </w:p>
        </w:tc>
        <w:tc>
          <w:tcPr>
            <w:tcW w:type="dxa" w:w="7272"/>
          </w:tcPr>
          <w:p>
            <w:pPr>
              <w:spacing w:after="40"/>
            </w:pPr>
            <w:r>
              <w:rPr>
                <w:sz w:val="18"/>
              </w:rPr>
            </w:r>
            <w:r>
              <w:rPr>
                <w:b/>
                <w:i w:val="0"/>
                <w:sz w:val="18"/>
              </w:rPr>
              <w:t>Not for a ruptured tympanic membrane or tubes in place</w:t>
            </w:r>
            <w:r>
              <w:rPr>
                <w:b w:val="0"/>
                <w:i w:val="0"/>
                <w:sz w:val="18"/>
              </w:rPr>
              <w:t xml:space="preserve"> — cochlear damage and hearing loss</w:t>
            </w:r>
          </w:p>
        </w:tc>
      </w:tr>
      <w:tr>
        <w:tc>
          <w:tcPr>
            <w:tcW w:type="dxa" w:w="7272"/>
          </w:tcPr>
          <w:p>
            <w:pPr>
              <w:spacing w:after="40"/>
            </w:pPr>
            <w:r>
              <w:rPr>
                <w:sz w:val="18"/>
              </w:rPr>
            </w:r>
            <w:r>
              <w:rPr>
                <w:b w:val="0"/>
                <w:i w:val="0"/>
                <w:sz w:val="18"/>
              </w:rPr>
              <w:t>Ciprofloxacin/dexamethasone</w:t>
            </w:r>
          </w:p>
        </w:tc>
        <w:tc>
          <w:tcPr>
            <w:tcW w:type="dxa" w:w="7272"/>
          </w:tcPr>
          <w:p>
            <w:pPr>
              <w:spacing w:after="40"/>
            </w:pPr>
            <w:r>
              <w:rPr>
                <w:sz w:val="18"/>
              </w:rPr>
            </w:r>
            <w:r>
              <w:rPr>
                <w:b/>
                <w:i w:val="0"/>
                <w:sz w:val="18"/>
              </w:rPr>
              <w:t>Expensive</w:t>
            </w:r>
            <w:r>
              <w:rPr>
                <w:b w:val="0"/>
                <w:i w:val="0"/>
                <w:sz w:val="18"/>
              </w:rPr>
              <w:t xml:space="preserve">; the alternative is </w:t>
            </w:r>
            <w:r>
              <w:rPr>
                <w:b/>
                <w:i w:val="0"/>
                <w:sz w:val="18"/>
              </w:rPr>
              <w:t>ofloxacin plus dexamethasone ophthalmic</w:t>
            </w:r>
            <w:r>
              <w:rPr>
                <w:b w:val="0"/>
                <w:i w:val="0"/>
                <w:sz w:val="18"/>
              </w:rPr>
              <w:t xml:space="preserve"> drops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contraindication to hold.</w:t>
            </w:r>
            <w:r>
              <w:rPr>
                <w:b w:val="0"/>
                <w:i w:val="0"/>
              </w:rPr>
              <w:t xml:space="preserve"> Before any drop goes in an ear, ask whether the eardrum is intact. Through a perforation or a tympanostomy tube the drug reaches the middle and inner ear, and polymyxin B is the one named as ototoxic there.</w:t>
            </w:r>
          </w:p>
        </w:tc>
      </w:tr>
    </w:tbl>
    <w:p>
      <w:pPr>
        <w:spacing w:after="80"/>
      </w:pPr>
    </w:p>
    <w:p>
      <w:pPr>
        <w:spacing w:after="120"/>
      </w:pPr>
      <w:r>
        <w:rPr>
          <w:b w:val="0"/>
          <w:i w:val="0"/>
        </w:rPr>
        <w:t>Also tested</w:t>
      </w:r>
    </w:p>
    <w:p>
      <w:pPr>
        <w:pStyle w:val="ListBullet"/>
        <w:spacing w:after="40"/>
      </w:pPr>
      <w:r>
        <w:rPr>
          <w:b/>
          <w:i w:val="0"/>
          <w:sz w:val="20"/>
        </w:rPr>
        <w:t>Otic anti-infectives.</w:t>
      </w:r>
      <w:r>
        <w:rPr>
          <w:b w:val="0"/>
          <w:i w:val="0"/>
          <w:sz w:val="20"/>
        </w:rPr>
        <w:t xml:space="preserve"> Available agents are ciprofloxacin, ofloxacin, and two steroid combinations: ciprofloxacin with dexamethasone, and neomycin with polymyxin B and hydrocortisone.</w:t>
      </w:r>
    </w:p>
    <w:p>
      <w:pPr>
        <w:pStyle w:val="ListBullet"/>
        <w:spacing w:after="40"/>
      </w:pPr>
      <w:r>
        <w:rPr>
          <w:b/>
          <w:i w:val="0"/>
          <w:sz w:val="20"/>
        </w:rPr>
        <w:t>Ear drops to avoid with a ruptured eardrum or tubes.</w:t>
      </w:r>
      <w:r>
        <w:rPr>
          <w:b w:val="0"/>
          <w:i w:val="0"/>
          <w:sz w:val="20"/>
        </w:rPr>
        <w:t xml:space="preserve"> The neomycin, polymyxin B and hydrocortisone drops are not recommended with a ruptured eardrum or tubes in place: the polymyxin B can reach the inner ear, causing cochlear damage and hearing loss.</w:t>
      </w:r>
    </w:p>
    <w:p>
      <w:pPr>
        <w:pStyle w:val="Heading2"/>
        <w:spacing w:before="200" w:after="100"/>
      </w:pPr>
      <w:r>
        <w:rPr>
          <w:rFonts w:ascii="Georgia" w:hAnsi="Georgia"/>
          <w:color w:val="6B3524"/>
        </w:rPr>
        <w:t>2.3 · Objectives 1–8 — Antifungals</w:t>
      </w:r>
    </w:p>
    <w:p>
      <w:pPr>
        <w:spacing w:after="120"/>
      </w:pPr>
      <w:r>
        <w:rPr>
          <w:b w:val="0"/>
          <w:i w:val="0"/>
        </w:rPr>
        <w:t xml:space="preserve">The two antifungals are opposites in exposure. </w:t>
      </w:r>
      <w:r>
        <w:rPr>
          <w:b/>
          <w:i w:val="0"/>
        </w:rPr>
        <w:t>Nystatin</w:t>
      </w:r>
      <w:r>
        <w:rPr>
          <w:b w:val="0"/>
          <w:i w:val="0"/>
        </w:rPr>
        <w:t xml:space="preserve"> oral suspension is a </w:t>
      </w:r>
      <w:r>
        <w:rPr>
          <w:b/>
          <w:i w:val="0"/>
        </w:rPr>
        <w:t>nonabsorbable</w:t>
      </w:r>
      <w:r>
        <w:rPr>
          <w:b w:val="0"/>
          <w:i w:val="0"/>
        </w:rPr>
        <w:t xml:space="preserve"> antifungal: it binds sterols in the fungal cell membrane and increases its permeability, stays in the mouth and gut, and so causes nothing worse than diarrhea, nausea, stomach pain and vomiting. Its indication is </w:t>
      </w:r>
      <w:r>
        <w:rPr>
          <w:b/>
          <w:i w:val="0"/>
        </w:rPr>
        <w:t>oral candidiasis</w:t>
      </w:r>
      <w:r>
        <w:rPr>
          <w:b w:val="0"/>
          <w:i w:val="0"/>
        </w:rPr>
        <w:t xml:space="preserve">, and the slide names three settings that produce it: </w:t>
      </w:r>
      <w:r>
        <w:rPr>
          <w:b/>
          <w:i w:val="0"/>
        </w:rPr>
        <w:t>inhaled steroids, HIV/AIDS and chemotherapy</w:t>
      </w:r>
      <w:r>
        <w:rPr>
          <w:b w:val="0"/>
          <w:i w:val="0"/>
        </w:rPr>
        <w:t>.</w:t>
      </w:r>
    </w:p>
    <w:p>
      <w:pPr>
        <w:spacing w:after="120"/>
      </w:pPr>
      <w:r>
        <w:rPr>
          <w:b/>
          <w:i w:val="0"/>
        </w:rPr>
        <w:t>Ketoconazole</w:t>
      </w:r>
      <w:r>
        <w:rPr>
          <w:b w:val="0"/>
          <w:i w:val="0"/>
        </w:rPr>
        <w:t xml:space="preserve"> is systemic, for </w:t>
      </w:r>
      <w:r>
        <w:rPr>
          <w:b/>
          <w:i w:val="0"/>
        </w:rPr>
        <w:t>systemic fungal infections</w:t>
      </w:r>
      <w:r>
        <w:rPr>
          <w:b w:val="0"/>
          <w:i w:val="0"/>
        </w:rPr>
        <w:t xml:space="preserve">, and its mechanism is given as altering fungal cell wall permeability by inhibiting a cytochrome P450 enzyme. That same class of enzyme is why it is dangerous: it is a </w:t>
      </w:r>
      <w:r>
        <w:rPr>
          <w:b/>
          <w:i w:val="0"/>
        </w:rPr>
        <w:t>CYP3A4 (cytochrome P450 3A4) inhibitor</w:t>
      </w:r>
      <w:r>
        <w:rPr>
          <w:b w:val="0"/>
          <w:i w:val="0"/>
        </w:rPr>
        <w:t xml:space="preserve">, so it raises levels of other drugs. Its own adverse effects are </w:t>
      </w:r>
      <w:r>
        <w:rPr>
          <w:b/>
          <w:i w:val="0"/>
        </w:rPr>
        <w:t>QTc prolongation</w:t>
      </w:r>
      <w:r>
        <w:rPr>
          <w:b w:val="0"/>
          <w:i w:val="0"/>
        </w:rPr>
        <w:t xml:space="preserve">, hyperlipidemia, orthostatic hypotension, and the liver list — </w:t>
      </w:r>
      <w:r>
        <w:rPr>
          <w:b/>
          <w:i w:val="0"/>
        </w:rPr>
        <w:t>hepatitis, abnormal liver function tests, cirrhosis and hepatic failure</w:t>
      </w:r>
      <w:r>
        <w:rPr>
          <w:b w:val="0"/>
          <w:i w:val="0"/>
        </w:rPr>
        <w:t>.</w:t>
      </w:r>
    </w:p>
    <w:p>
      <w:pPr>
        <w:spacing w:after="120"/>
      </w:pPr>
      <w:r>
        <w:rPr>
          <w:b/>
          <w:i w:val="0"/>
        </w:rPr>
        <w:t>Absorption decides the risk (Objective 4).</w:t>
      </w:r>
      <w:r>
        <w:rPr>
          <w:b w:val="0"/>
          <w:i w:val="0"/>
        </w:rPr>
        <w:t xml:space="preserve"> Thrush after an inhaled steroid is treated with the drug that is </w:t>
      </w:r>
      <w:r>
        <w:rPr>
          <w:b w:val="0"/>
          <w:i/>
        </w:rPr>
        <w:t>not</w:t>
      </w:r>
      <w:r>
        <w:rPr>
          <w:b w:val="0"/>
          <w:i w:val="0"/>
        </w:rPr>
        <w:t xml:space="preserve"> absorbed, because it only needs to reach the mucosa. Ketoconazole's hepatic and cardiac toxicity and its drug interactions all follow from the fact that it reaches the circulation.</w:t>
      </w:r>
    </w:p>
    <w:p>
      <w:pPr>
        <w:spacing w:after="120"/>
      </w:pPr>
      <w:r>
        <w:rPr>
          <w:b w:val="0"/>
          <w:i w:val="0"/>
        </w:rPr>
        <w:t>Also tested</w:t>
      </w:r>
    </w:p>
    <w:p>
      <w:pPr>
        <w:pStyle w:val="ListBullet"/>
        <w:spacing w:after="40"/>
      </w:pPr>
      <w:r>
        <w:rPr>
          <w:b/>
          <w:i w:val="0"/>
          <w:sz w:val="20"/>
        </w:rPr>
        <w:t>Settings for oral candidiasis.</w:t>
      </w:r>
      <w:r>
        <w:rPr>
          <w:b w:val="0"/>
          <w:i w:val="0"/>
          <w:sz w:val="20"/>
        </w:rPr>
        <w:t xml:space="preserve"> Oral candidiasis occurs with inhaled steroids, HIV infection and chemotherapy, which share suppressed local or general immunity.</w:t>
      </w:r>
    </w:p>
    <w:p>
      <w:pPr>
        <w:pStyle w:val="ListBullet"/>
        <w:spacing w:after="40"/>
      </w:pPr>
      <w:r>
        <w:rPr>
          <w:b/>
          <w:i w:val="0"/>
          <w:sz w:val="20"/>
        </w:rPr>
        <w:t>Nystatin.</w:t>
      </w:r>
      <w:r>
        <w:rPr>
          <w:b w:val="0"/>
          <w:i w:val="0"/>
          <w:sz w:val="20"/>
        </w:rPr>
        <w:t xml:space="preserve"> As a nonabsorbable antifungal it acts only where it touches and not elsewhere, which makes it well tolerated but unable to treat anything beyond the mucosa.</w:t>
      </w:r>
    </w:p>
    <w:p>
      <w:pPr>
        <w:pStyle w:val="ListBullet"/>
        <w:spacing w:after="40"/>
      </w:pPr>
      <w:r>
        <w:rPr>
          <w:b/>
          <w:i w:val="0"/>
          <w:sz w:val="20"/>
        </w:rPr>
        <w:t>Ketoconazole interactions.</w:t>
      </w:r>
      <w:r>
        <w:rPr>
          <w:b w:val="0"/>
          <w:i w:val="0"/>
          <w:sz w:val="20"/>
        </w:rPr>
        <w:t xml:space="preserve"> It inhibits CYP3A4, raising the level of anything cleared by that route, which is why it interacts with so many other medicines.</w:t>
      </w:r>
    </w:p>
    <w:p>
      <w:pPr>
        <w:pStyle w:val="Heading2"/>
        <w:spacing w:before="200" w:after="100"/>
      </w:pPr>
      <w:r>
        <w:rPr>
          <w:rFonts w:ascii="Georgia" w:hAnsi="Georgia"/>
          <w:color w:val="6B3524"/>
        </w:rPr>
        <w:t>2.4 · Objectives 2–7 — Aspirin and Reye syndrome</w:t>
      </w:r>
    </w:p>
    <w:p>
      <w:pPr>
        <w:spacing w:after="120"/>
      </w:pPr>
      <w:r>
        <w:rPr>
          <w:b/>
          <w:i w:val="0"/>
        </w:rPr>
        <w:t>Aspirin (acetylsalicylic acid)</w:t>
      </w:r>
      <w:r>
        <w:rPr>
          <w:b w:val="0"/>
          <w:i w:val="0"/>
        </w:rPr>
        <w:t xml:space="preserve"> is absorbed orally, conjugated in the liver and excreted by the kidneys. It is an </w:t>
      </w:r>
      <w:r>
        <w:rPr>
          <w:b/>
          <w:i w:val="0"/>
        </w:rPr>
        <w:t>irreversible, noncompetitive inhibitor of platelets</w:t>
      </w:r>
      <w:r>
        <w:rPr>
          <w:b w:val="0"/>
          <w:i w:val="0"/>
        </w:rPr>
        <w:t xml:space="preserve"> and is </w:t>
      </w:r>
      <w:r>
        <w:rPr>
          <w:b/>
          <w:i w:val="0"/>
        </w:rPr>
        <w:t>non-selective for cyclooxygenase-1 and cyclooxygenase-2</w:t>
      </w:r>
      <w:r>
        <w:rPr>
          <w:b w:val="0"/>
          <w:i w:val="0"/>
        </w:rPr>
        <w:t>. Irreversible is the word to hold: the platelet it touches stays inhibited, which is where both its antiplatelet use and its bleeding risk come from.</w:t>
      </w:r>
    </w:p>
    <w:p>
      <w:pPr>
        <w:spacing w:after="120"/>
      </w:pPr>
      <w:r>
        <w:rPr>
          <w:b w:val="0"/>
          <w:i w:val="0"/>
        </w:rPr>
        <w:t xml:space="preserve">Slide 16 is a dose-effect table. The doses themselves are not examined; the </w:t>
      </w:r>
      <w:r>
        <w:rPr>
          <w:b/>
          <w:i w:val="0"/>
        </w:rPr>
        <w:t>ladder of effects</w:t>
      </w:r>
      <w:r>
        <w:rPr>
          <w:b w:val="0"/>
          <w:i w:val="0"/>
        </w:rPr>
        <w:t xml:space="preserve"> it describes is. As exposure rises, the same drug is first an </w:t>
      </w:r>
      <w:r>
        <w:rPr>
          <w:b/>
          <w:i w:val="0"/>
        </w:rPr>
        <w:t>antiplatelet</w:t>
      </w:r>
      <w:r>
        <w:rPr>
          <w:b w:val="0"/>
          <w:i w:val="0"/>
        </w:rPr>
        <w:t xml:space="preserve"> (complication: bleeding), then an </w:t>
      </w:r>
      <w:r>
        <w:rPr>
          <w:b/>
          <w:i w:val="0"/>
        </w:rPr>
        <w:t>antipyretic and analgesic</w:t>
      </w:r>
      <w:r>
        <w:rPr>
          <w:b w:val="0"/>
          <w:i w:val="0"/>
        </w:rPr>
        <w:t xml:space="preserve"> (bleeding, gastrointestinal upset, nausea, hypersensitivity), then an </w:t>
      </w:r>
      <w:r>
        <w:rPr>
          <w:b/>
          <w:i w:val="0"/>
        </w:rPr>
        <w:t>anti-inflammatory</w:t>
      </w:r>
      <w:r>
        <w:rPr>
          <w:b w:val="0"/>
          <w:i w:val="0"/>
        </w:rPr>
        <w:t xml:space="preserve"> — where </w:t>
      </w:r>
      <w:r>
        <w:rPr>
          <w:b/>
          <w:i w:val="0"/>
        </w:rPr>
        <w:t>tinnitus</w:t>
      </w:r>
      <w:r>
        <w:rPr>
          <w:b w:val="0"/>
          <w:i w:val="0"/>
        </w:rPr>
        <w:t xml:space="preserve"> appears — and finally toxic, as </w:t>
      </w:r>
      <w:r>
        <w:rPr>
          <w:b/>
          <w:i w:val="0"/>
        </w:rPr>
        <w:t>salicylism</w:t>
      </w:r>
      <w:r>
        <w:rPr>
          <w:b w:val="0"/>
          <w:i w:val="0"/>
        </w:rPr>
        <w:t>: hyperventilation and alkalosis, then fever, dehydration and metabolic acidosis, then shock, coma, respiratory and renal failure, and death.</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Contraindication</w:t>
            </w:r>
          </w:p>
        </w:tc>
        <w:tc>
          <w:tcPr>
            <w:tcW w:type="dxa" w:w="7272"/>
            <w:shd w:val="clear" w:color="auto" w:fill="6B3524"/>
          </w:tcPr>
          <w:p>
            <w:pPr>
              <w:spacing w:after="40"/>
            </w:pPr>
            <w:r>
              <w:rPr>
                <w:b/>
                <w:color w:val="FFFFFF"/>
                <w:sz w:val="18"/>
              </w:rPr>
            </w:r>
            <w:r>
              <w:rPr>
                <w:b/>
                <w:i w:val="0"/>
                <w:color w:val="FFFFFF"/>
                <w:sz w:val="18"/>
              </w:rPr>
              <w:t>Why</w:t>
            </w:r>
          </w:p>
        </w:tc>
      </w:tr>
      <w:tr>
        <w:tc>
          <w:tcPr>
            <w:tcW w:type="dxa" w:w="7272"/>
          </w:tcPr>
          <w:p>
            <w:pPr>
              <w:spacing w:after="40"/>
            </w:pPr>
            <w:r>
              <w:rPr>
                <w:sz w:val="18"/>
              </w:rPr>
            </w:r>
            <w:r>
              <w:rPr>
                <w:b w:val="0"/>
                <w:i w:val="0"/>
                <w:sz w:val="18"/>
              </w:rPr>
              <w:t>Bleeding disorders</w:t>
            </w:r>
          </w:p>
        </w:tc>
        <w:tc>
          <w:tcPr>
            <w:tcW w:type="dxa" w:w="7272"/>
          </w:tcPr>
          <w:p>
            <w:pPr>
              <w:spacing w:after="40"/>
            </w:pPr>
            <w:r>
              <w:rPr>
                <w:sz w:val="18"/>
              </w:rPr>
            </w:r>
            <w:r>
              <w:rPr>
                <w:b w:val="0"/>
                <w:i w:val="0"/>
                <w:sz w:val="18"/>
              </w:rPr>
              <w:t>Irreversible platelet inhibition</w:t>
            </w:r>
          </w:p>
        </w:tc>
      </w:tr>
      <w:tr>
        <w:tc>
          <w:tcPr>
            <w:tcW w:type="dxa" w:w="7272"/>
          </w:tcPr>
          <w:p>
            <w:pPr>
              <w:spacing w:after="40"/>
            </w:pPr>
            <w:r>
              <w:rPr>
                <w:sz w:val="18"/>
              </w:rPr>
            </w:r>
            <w:r>
              <w:rPr>
                <w:b w:val="0"/>
                <w:i w:val="0"/>
                <w:sz w:val="18"/>
              </w:rPr>
              <w:t>Pregnancy</w:t>
            </w:r>
          </w:p>
        </w:tc>
        <w:tc>
          <w:tcPr>
            <w:tcW w:type="dxa" w:w="7272"/>
          </w:tcPr>
          <w:p>
            <w:pPr>
              <w:spacing w:after="40"/>
            </w:pPr>
            <w:r>
              <w:rPr>
                <w:sz w:val="18"/>
              </w:rPr>
            </w:r>
            <w:r>
              <w:rPr>
                <w:b w:val="0"/>
                <w:i w:val="0"/>
                <w:sz w:val="18"/>
              </w:rPr>
              <w:t>Contraindicated, although very low doses may benefit hypertensive disorders of pregnancy (pre-eclampsia)</w:t>
            </w:r>
          </w:p>
        </w:tc>
      </w:tr>
      <w:tr>
        <w:tc>
          <w:tcPr>
            <w:tcW w:type="dxa" w:w="7272"/>
          </w:tcPr>
          <w:p>
            <w:pPr>
              <w:spacing w:after="40"/>
            </w:pPr>
            <w:r>
              <w:rPr>
                <w:sz w:val="18"/>
              </w:rPr>
            </w:r>
            <w:r>
              <w:rPr>
                <w:b/>
                <w:i w:val="0"/>
                <w:sz w:val="18"/>
              </w:rPr>
              <w:t>Children with fever from a viral illness</w:t>
            </w:r>
            <w:r>
              <w:rPr>
                <w:b w:val="0"/>
                <w:i w:val="0"/>
                <w:sz w:val="18"/>
              </w:rPr>
              <w:t xml:space="preserve"> (chickenpox, influenza)</w:t>
            </w:r>
          </w:p>
        </w:tc>
        <w:tc>
          <w:tcPr>
            <w:tcW w:type="dxa" w:w="7272"/>
          </w:tcPr>
          <w:p>
            <w:pPr>
              <w:spacing w:after="40"/>
            </w:pPr>
            <w:r>
              <w:rPr>
                <w:sz w:val="18"/>
              </w:rPr>
            </w:r>
            <w:r>
              <w:rPr>
                <w:b/>
                <w:i w:val="0"/>
                <w:sz w:val="18"/>
              </w:rPr>
              <w:t>Increased incidence of Reye syndrome</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Reye syndrome (fatty liver encephalopathy).</w:t>
            </w:r>
            <w:r>
              <w:rPr>
                <w:b w:val="0"/>
                <w:i w:val="0"/>
              </w:rPr>
              <w:t xml:space="preserve"> Children under 15, with a </w:t>
            </w:r>
            <w:r>
              <w:rPr>
                <w:b/>
                <w:i w:val="0"/>
              </w:rPr>
              <w:t>mortality of 50%</w:t>
            </w:r>
            <w:r>
              <w:rPr>
                <w:b w:val="0"/>
                <w:i w:val="0"/>
              </w:rPr>
              <w:t xml:space="preserve">. It follows an upper respiratory infection, influenza or chickenpox, and presents with </w:t>
            </w:r>
            <w:r>
              <w:rPr>
                <w:b/>
                <w:i w:val="0"/>
              </w:rPr>
              <w:t>vomiting, progressive central nervous system damage, hepatic injury and hypoglycemia</w:t>
            </w:r>
            <w:r>
              <w:rPr>
                <w:b w:val="0"/>
                <w:i w:val="0"/>
              </w:rPr>
              <w:t>. The pathology is fatty change in the liver and renal tubules, cerebral edema, and mitochondrial dysfunction in brain, liver and muscle. It runs through five stages: (I) rash on hands and feet, vomiting, high fever, lethargy; (II) encephalitis, hyperventilation, fatty liver; (III) coma and cerebral edema; (IV) deeper coma, fixed dilated pupils, hepatic dysfunction; (V) seizures, multiple organ failure, death.</w:t>
            </w:r>
          </w:p>
        </w:tc>
      </w:tr>
    </w:tbl>
    <w:p>
      <w:pPr>
        <w:spacing w:after="80"/>
      </w:pPr>
    </w:p>
    <w:p>
      <w:pPr>
        <w:spacing w:after="120"/>
      </w:pPr>
      <w:r>
        <w:rPr>
          <w:b w:val="0"/>
          <w:i w:val="0"/>
        </w:rPr>
        <w:t>Also tested</w:t>
      </w:r>
    </w:p>
    <w:p>
      <w:pPr>
        <w:pStyle w:val="ListBullet"/>
        <w:spacing w:after="40"/>
      </w:pPr>
      <w:r>
        <w:rPr>
          <w:b/>
          <w:i w:val="0"/>
          <w:sz w:val="20"/>
        </w:rPr>
        <w:t>Aspirin and cyclooxygenase.</w:t>
      </w:r>
      <w:r>
        <w:rPr>
          <w:b w:val="0"/>
          <w:i w:val="0"/>
          <w:sz w:val="20"/>
        </w:rPr>
        <w:t xml:space="preserve"> Aspirin inhibits cyclooxygenase irreversibly and non-competitively. A platelet has no nucleus and cannot make fresh enzyme, so one exposure disables it for its lifetime.</w:t>
      </w:r>
    </w:p>
    <w:p>
      <w:pPr>
        <w:pStyle w:val="ListBullet"/>
        <w:spacing w:after="40"/>
      </w:pPr>
      <w:r>
        <w:rPr>
          <w:b/>
          <w:i w:val="0"/>
          <w:sz w:val="20"/>
        </w:rPr>
        <w:t>Reye's syndrome.</w:t>
      </w:r>
      <w:r>
        <w:rPr>
          <w:b w:val="0"/>
          <w:i w:val="0"/>
          <w:sz w:val="20"/>
        </w:rPr>
        <w:t xml:space="preserve"> It affects children, with mortality around half; the severity justifies a blanket restriction on a cheap and otherwise useful drug.</w:t>
      </w:r>
    </w:p>
    <w:p>
      <w:pPr>
        <w:pStyle w:val="ListBullet"/>
        <w:spacing w:after="40"/>
      </w:pPr>
      <w:r>
        <w:rPr>
          <w:b/>
          <w:i w:val="0"/>
          <w:sz w:val="20"/>
        </w:rPr>
        <w:t>Tinnitus with regular aspirin.</w:t>
      </w:r>
      <w:r>
        <w:rPr>
          <w:b w:val="0"/>
          <w:i w:val="0"/>
          <w:sz w:val="20"/>
        </w:rPr>
        <w:t xml:space="preserve"> Ringing in the ears is an audible marker that exposure has climbed from analgesia into the anti-inflammatory range.</w:t>
      </w:r>
    </w:p>
    <w:p>
      <w:pPr>
        <w:pStyle w:val="ListBullet"/>
        <w:spacing w:after="40"/>
      </w:pPr>
      <w:r>
        <w:rPr>
          <w:b/>
          <w:i w:val="0"/>
          <w:sz w:val="20"/>
        </w:rPr>
        <w:t>Aspirin contraindications.</w:t>
      </w:r>
      <w:r>
        <w:rPr>
          <w:b w:val="0"/>
          <w:i w:val="0"/>
          <w:sz w:val="20"/>
        </w:rPr>
        <w:t xml:space="preserve"> Bleeding disorders, pregnancy, and children with fever from viral illness; the three involve unrelated mechanisms (bleeding risk, pregnancy, and Reye's), so the list has to be remembered rather than derived.</w:t>
      </w:r>
    </w:p>
    <w:p>
      <w:pPr>
        <w:pStyle w:val="ListBullet"/>
        <w:spacing w:after="40"/>
      </w:pPr>
      <w:r>
        <w:rPr>
          <w:b/>
          <w:i w:val="0"/>
          <w:sz w:val="20"/>
        </w:rPr>
        <w:t>Aspirin versus acetaminophen for fever in a child.</w:t>
      </w:r>
      <w:r>
        <w:rPr>
          <w:b w:val="0"/>
          <w:i w:val="0"/>
          <w:sz w:val="20"/>
        </w:rPr>
        <w:t xml:space="preserve"> Aspirin in a child with viral illness such as influenza risks Reye's syndrome, which is why acetaminophen became the default antipyretic in children.</w:t>
      </w:r>
    </w:p>
    <w:p>
      <w:pPr>
        <w:pStyle w:val="ListBullet"/>
        <w:spacing w:after="40"/>
      </w:pPr>
      <w:r>
        <w:rPr>
          <w:b/>
          <w:i w:val="0"/>
          <w:sz w:val="20"/>
        </w:rPr>
        <w:t>Aspirin in pregnancy.</w:t>
      </w:r>
      <w:r>
        <w:rPr>
          <w:b w:val="0"/>
          <w:i w:val="0"/>
          <w:sz w:val="20"/>
        </w:rPr>
        <w:t xml:space="preserve"> Aspirin is avoided in pregnancy at ordinary doses, but very low doses may benefit hypertensive disorders of pregnancy (preeclampsia).</w:t>
      </w:r>
    </w:p>
    <w:p>
      <w:pPr>
        <w:pStyle w:val="ListBullet"/>
        <w:spacing w:after="40"/>
      </w:pPr>
      <w:r>
        <w:rPr>
          <w:b/>
          <w:i w:val="0"/>
          <w:sz w:val="20"/>
        </w:rPr>
        <w:t>Salicylism (aspirin toxicity).</w:t>
      </w:r>
      <w:r>
        <w:rPr>
          <w:b w:val="0"/>
          <w:i w:val="0"/>
          <w:sz w:val="20"/>
        </w:rPr>
        <w:t xml:space="preserve"> Aspirin toxicity, salicylism, runs from hyperventilation and alkalosis to fever, dehydration and metabolic acidosis, then shock and coma.</w:t>
      </w:r>
    </w:p>
    <w:p>
      <w:pPr>
        <w:pStyle w:val="Heading2"/>
        <w:spacing w:before="200" w:after="100"/>
      </w:pPr>
      <w:r>
        <w:rPr>
          <w:rFonts w:ascii="Georgia" w:hAnsi="Georgia"/>
          <w:color w:val="6B3524"/>
        </w:rPr>
        <w:t>2.5 · Objectives 1–8 — Ibuprofen, naproxen and acetaminophen</w:t>
      </w:r>
    </w:p>
    <w:p>
      <w:pPr>
        <w:spacing w:after="120"/>
      </w:pPr>
      <w:r>
        <w:rPr>
          <w:b/>
          <w:i w:val="0"/>
        </w:rPr>
        <w:t>Ibuprofen (Motrin, Advil)</w:t>
      </w:r>
      <w:r>
        <w:rPr>
          <w:b w:val="0"/>
          <w:i w:val="0"/>
        </w:rPr>
        <w:t xml:space="preserve"> is an NSAID (nonsteroidal anti-inflammatory drug): anti-inflammatory, analgesic and antipyretic. It </w:t>
      </w:r>
      <w:r>
        <w:rPr>
          <w:b/>
          <w:i w:val="0"/>
        </w:rPr>
        <w:t>reversibly</w:t>
      </w:r>
      <w:r>
        <w:rPr>
          <w:b w:val="0"/>
          <w:i w:val="0"/>
        </w:rPr>
        <w:t xml:space="preserve"> inhibits cyclooxygenase-1 and -2, decreasing prostaglandin synthesis — the contrast with aspirin's irreversible block. Indication: relief of mild to moderate pain. Adverse effects fall in three places: the stomach (</w:t>
      </w:r>
      <w:r>
        <w:rPr>
          <w:b/>
          <w:i w:val="0"/>
        </w:rPr>
        <w:t>gastric or duodenal ulcers, perforation, bleeding</w:t>
      </w:r>
      <w:r>
        <w:rPr>
          <w:b w:val="0"/>
          <w:i w:val="0"/>
        </w:rPr>
        <w:t>), fluid (</w:t>
      </w:r>
      <w:r>
        <w:rPr>
          <w:b/>
          <w:i w:val="0"/>
        </w:rPr>
        <w:t>edema and fluid retention</w:t>
      </w:r>
      <w:r>
        <w:rPr>
          <w:b w:val="0"/>
          <w:i w:val="0"/>
        </w:rPr>
        <w:t>) and the kidney (</w:t>
      </w:r>
      <w:r>
        <w:rPr>
          <w:b/>
          <w:i w:val="0"/>
        </w:rPr>
        <w:t>acute renal failure, decreased creatinine clearance</w:t>
      </w:r>
      <w:r>
        <w:rPr>
          <w:b w:val="0"/>
          <w:i w:val="0"/>
        </w:rPr>
        <w:t xml:space="preserve">). </w:t>
      </w:r>
      <w:r>
        <w:rPr>
          <w:b/>
          <w:i w:val="0"/>
        </w:rPr>
        <w:t>Naproxen (Aleve)</w:t>
      </w:r>
      <w:r>
        <w:rPr>
          <w:b w:val="0"/>
          <w:i w:val="0"/>
        </w:rPr>
        <w:t xml:space="preserve"> is the other over-the-counter NSAID: a longer half-life, so less frequent dosing.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Ibuprofen interaction</w:t>
            </w:r>
          </w:p>
        </w:tc>
        <w:tc>
          <w:tcPr>
            <w:tcW w:type="dxa" w:w="7272"/>
            <w:shd w:val="clear" w:color="auto" w:fill="6B3524"/>
          </w:tcPr>
          <w:p>
            <w:pPr>
              <w:spacing w:after="40"/>
            </w:pPr>
            <w:r>
              <w:rPr>
                <w:b/>
                <w:color w:val="FFFFFF"/>
                <w:sz w:val="18"/>
              </w:rPr>
            </w:r>
            <w:r>
              <w:rPr>
                <w:b/>
                <w:i w:val="0"/>
                <w:color w:val="FFFFFF"/>
                <w:sz w:val="18"/>
              </w:rPr>
              <w:t>Result</w:t>
            </w:r>
          </w:p>
        </w:tc>
      </w:tr>
      <w:tr>
        <w:tc>
          <w:tcPr>
            <w:tcW w:type="dxa" w:w="7272"/>
          </w:tcPr>
          <w:p>
            <w:pPr>
              <w:spacing w:after="40"/>
            </w:pPr>
            <w:r>
              <w:rPr>
                <w:sz w:val="18"/>
              </w:rPr>
            </w:r>
            <w:r>
              <w:rPr>
                <w:b w:val="0"/>
                <w:i w:val="0"/>
                <w:sz w:val="18"/>
              </w:rPr>
              <w:t>ACE (angiotensin-converting enzyme) inhibitors</w:t>
            </w:r>
          </w:p>
        </w:tc>
        <w:tc>
          <w:tcPr>
            <w:tcW w:type="dxa" w:w="7272"/>
          </w:tcPr>
          <w:p>
            <w:pPr>
              <w:spacing w:after="40"/>
            </w:pPr>
            <w:r>
              <w:rPr>
                <w:sz w:val="18"/>
              </w:rPr>
            </w:r>
            <w:r>
              <w:rPr>
                <w:b w:val="0"/>
                <w:i w:val="0"/>
                <w:sz w:val="18"/>
              </w:rPr>
              <w:t>Decreases their effect</w:t>
            </w:r>
          </w:p>
        </w:tc>
      </w:tr>
      <w:tr>
        <w:tc>
          <w:tcPr>
            <w:tcW w:type="dxa" w:w="7272"/>
          </w:tcPr>
          <w:p>
            <w:pPr>
              <w:spacing w:after="40"/>
            </w:pPr>
            <w:r>
              <w:rPr>
                <w:sz w:val="18"/>
              </w:rPr>
            </w:r>
            <w:r>
              <w:rPr>
                <w:b w:val="0"/>
                <w:i w:val="0"/>
                <w:sz w:val="18"/>
              </w:rPr>
              <w:t>Diuretics</w:t>
            </w:r>
          </w:p>
        </w:tc>
        <w:tc>
          <w:tcPr>
            <w:tcW w:type="dxa" w:w="7272"/>
          </w:tcPr>
          <w:p>
            <w:pPr>
              <w:spacing w:after="40"/>
            </w:pPr>
            <w:r>
              <w:rPr>
                <w:sz w:val="18"/>
              </w:rPr>
            </w:r>
            <w:r>
              <w:rPr>
                <w:b w:val="0"/>
                <w:i w:val="0"/>
                <w:sz w:val="18"/>
              </w:rPr>
              <w:t>Watch for renal failure</w:t>
            </w:r>
          </w:p>
        </w:tc>
      </w:tr>
      <w:tr>
        <w:tc>
          <w:tcPr>
            <w:tcW w:type="dxa" w:w="7272"/>
          </w:tcPr>
          <w:p>
            <w:pPr>
              <w:spacing w:after="40"/>
            </w:pPr>
            <w:r>
              <w:rPr>
                <w:sz w:val="18"/>
              </w:rPr>
            </w:r>
            <w:r>
              <w:rPr>
                <w:b w:val="0"/>
                <w:i w:val="0"/>
                <w:sz w:val="18"/>
              </w:rPr>
              <w:t>Lithium</w:t>
            </w:r>
          </w:p>
        </w:tc>
        <w:tc>
          <w:tcPr>
            <w:tcW w:type="dxa" w:w="7272"/>
          </w:tcPr>
          <w:p>
            <w:pPr>
              <w:spacing w:after="40"/>
            </w:pPr>
            <w:r>
              <w:rPr>
                <w:sz w:val="18"/>
              </w:rPr>
            </w:r>
            <w:r>
              <w:rPr>
                <w:b w:val="0"/>
                <w:i w:val="0"/>
                <w:sz w:val="18"/>
              </w:rPr>
              <w:t>Decreases lithium secretion</w:t>
            </w:r>
          </w:p>
        </w:tc>
      </w:tr>
      <w:tr>
        <w:tc>
          <w:tcPr>
            <w:tcW w:type="dxa" w:w="7272"/>
          </w:tcPr>
          <w:p>
            <w:pPr>
              <w:spacing w:after="40"/>
            </w:pPr>
            <w:r>
              <w:rPr>
                <w:sz w:val="18"/>
              </w:rPr>
            </w:r>
            <w:r>
              <w:rPr>
                <w:b w:val="0"/>
                <w:i w:val="0"/>
                <w:sz w:val="18"/>
              </w:rPr>
              <w:t>Methotrexate</w:t>
            </w:r>
          </w:p>
        </w:tc>
        <w:tc>
          <w:tcPr>
            <w:tcW w:type="dxa" w:w="7272"/>
          </w:tcPr>
          <w:p>
            <w:pPr>
              <w:spacing w:after="40"/>
            </w:pPr>
            <w:r>
              <w:rPr>
                <w:sz w:val="18"/>
              </w:rPr>
            </w:r>
            <w:r>
              <w:rPr>
                <w:b w:val="0"/>
                <w:i w:val="0"/>
                <w:sz w:val="18"/>
              </w:rPr>
              <w:t xml:space="preserve">Decreases its secretion, producing </w:t>
            </w:r>
            <w:r>
              <w:rPr>
                <w:b/>
                <w:i w:val="0"/>
                <w:sz w:val="18"/>
              </w:rPr>
              <w:t>toxic levels</w:t>
            </w:r>
          </w:p>
        </w:tc>
      </w:tr>
      <w:tr>
        <w:tc>
          <w:tcPr>
            <w:tcW w:type="dxa" w:w="7272"/>
          </w:tcPr>
          <w:p>
            <w:pPr>
              <w:spacing w:after="40"/>
            </w:pPr>
            <w:r>
              <w:rPr>
                <w:sz w:val="18"/>
              </w:rPr>
            </w:r>
            <w:r>
              <w:rPr>
                <w:b w:val="0"/>
                <w:i w:val="0"/>
                <w:sz w:val="18"/>
              </w:rPr>
              <w:t>Anticoagulants</w:t>
            </w:r>
          </w:p>
        </w:tc>
        <w:tc>
          <w:tcPr>
            <w:tcW w:type="dxa" w:w="7272"/>
          </w:tcPr>
          <w:p>
            <w:pPr>
              <w:spacing w:after="40"/>
            </w:pPr>
            <w:r>
              <w:rPr>
                <w:sz w:val="18"/>
              </w:rPr>
            </w:r>
            <w:r>
              <w:rPr>
                <w:b w:val="0"/>
                <w:i w:val="0"/>
                <w:sz w:val="18"/>
              </w:rPr>
              <w:t xml:space="preserve">Prolongs prothrombin time, with </w:t>
            </w:r>
            <w:r>
              <w:rPr>
                <w:b/>
                <w:i w:val="0"/>
                <w:sz w:val="18"/>
              </w:rPr>
              <w:t>serious gastrointestinal bleeds</w:t>
            </w:r>
          </w:p>
        </w:tc>
      </w:tr>
    </w:tbl>
    <w:p>
      <w:pPr>
        <w:spacing w:after="80"/>
      </w:pPr>
    </w:p>
    <w:p>
      <w:pPr>
        <w:spacing w:after="120"/>
      </w:pPr>
      <w:r>
        <w:rPr>
          <w:b w:val="0"/>
          <w:i w:val="0"/>
        </w:rPr>
        <w:t xml:space="preserve">Ibuprofen contraindications: allergy to the product; it </w:t>
      </w:r>
      <w:r>
        <w:rPr>
          <w:b/>
          <w:i w:val="0"/>
        </w:rPr>
        <w:t>may exacerbate asthma</w:t>
      </w:r>
      <w:r>
        <w:rPr>
          <w:b w:val="0"/>
          <w:i w:val="0"/>
        </w:rPr>
        <w:t xml:space="preserve">; </w:t>
      </w:r>
      <w:r>
        <w:rPr>
          <w:b/>
          <w:i w:val="0"/>
        </w:rPr>
        <w:t>avoid in children under 6 months</w:t>
      </w:r>
      <w:r>
        <w:rPr>
          <w:b w:val="0"/>
          <w:i w:val="0"/>
        </w:rPr>
        <w:t>; and a past history of stomach ulcer or perforation, or renal dysfunction.</w:t>
      </w:r>
    </w:p>
    <w:p>
      <w:pPr>
        <w:spacing w:after="120"/>
      </w:pPr>
      <w:r>
        <w:rPr>
          <w:b/>
          <w:i w:val="0"/>
        </w:rPr>
        <w:t>Acetaminophen (Tylenol; acetyl-para-aminophenol)</w:t>
      </w:r>
      <w:r>
        <w:rPr>
          <w:b w:val="0"/>
          <w:i w:val="0"/>
        </w:rPr>
        <w:t xml:space="preserve"> is an analgesic and antipyretic — </w:t>
      </w:r>
      <w:r>
        <w:rPr>
          <w:b w:val="0"/>
          <w:i/>
        </w:rPr>
        <w:t>not</w:t>
      </w:r>
      <w:r>
        <w:rPr>
          <w:b w:val="0"/>
          <w:i w:val="0"/>
        </w:rPr>
        <w:t xml:space="preserve"> an anti-inflammatory — whose mechanism is </w:t>
      </w:r>
      <w:r>
        <w:rPr>
          <w:b/>
          <w:i w:val="0"/>
        </w:rPr>
        <w:t>not fully elucidated</w:t>
      </w:r>
      <w:r>
        <w:rPr>
          <w:b w:val="0"/>
          <w:i w:val="0"/>
        </w:rPr>
        <w:t xml:space="preserve">. Indications: pain, and fever above 100 °F. It is </w:t>
      </w:r>
      <w:r>
        <w:rPr>
          <w:b/>
          <w:i w:val="0"/>
        </w:rPr>
        <w:t>very well tolerated, with no notable side effects at therapeutic doses</w:t>
      </w:r>
      <w:r>
        <w:rPr>
          <w:b w:val="0"/>
          <w:i w:val="0"/>
        </w:rPr>
        <w:t xml:space="preserve">. The one interaction: </w:t>
      </w:r>
      <w:r>
        <w:rPr>
          <w:b/>
          <w:i w:val="0"/>
        </w:rPr>
        <w:t>chronic alcohol use with acetaminophen increases the risk of liver damage</w:t>
      </w:r>
      <w:r>
        <w:rPr>
          <w:b w:val="0"/>
          <w:i w:val="0"/>
        </w:rPr>
        <w:t>. Its only listed contraindication is allergy. Its antidote, N-acetylcysteine, reappears in 2.9 as a mucolytic.</w:t>
      </w:r>
    </w:p>
    <w:p>
      <w:pPr>
        <w:spacing w:after="120"/>
      </w:pPr>
      <w:r>
        <w:rPr>
          <w:b w:val="0"/>
          <w:i w:val="0"/>
        </w:rPr>
        <w:t>Also tested</w:t>
      </w:r>
    </w:p>
    <w:p>
      <w:pPr>
        <w:pStyle w:val="ListBullet"/>
        <w:spacing w:after="40"/>
      </w:pPr>
      <w:r>
        <w:rPr>
          <w:b/>
          <w:i w:val="0"/>
          <w:sz w:val="20"/>
        </w:rPr>
        <w:t>Ibuprofen with lithium.</w:t>
      </w:r>
      <w:r>
        <w:rPr>
          <w:b w:val="0"/>
          <w:i w:val="0"/>
          <w:sz w:val="20"/>
        </w:rPr>
        <w:t xml:space="preserve"> Ibuprofen reduces lithium excretion, so levels rise; lithium has little margin between useful and toxic, so anything that slows its removal matters quickly.</w:t>
      </w:r>
    </w:p>
    <w:p>
      <w:pPr>
        <w:pStyle w:val="ListBullet"/>
        <w:spacing w:after="40"/>
      </w:pPr>
      <w:r>
        <w:rPr>
          <w:b/>
          <w:i w:val="0"/>
          <w:sz w:val="20"/>
        </w:rPr>
        <w:t>Ibuprofen with a diuretic and an ACE inhibitor.</w:t>
      </w:r>
      <w:r>
        <w:rPr>
          <w:b w:val="0"/>
          <w:i w:val="0"/>
          <w:sz w:val="20"/>
        </w:rPr>
        <w:t xml:space="preserve"> Renal function should be watched: the kidney is at risk with the diuretic, and the ACE inhibitor works less well, so its blood pressure response should also be watched.</w:t>
      </w:r>
    </w:p>
    <w:p>
      <w:pPr>
        <w:pStyle w:val="ListBullet"/>
        <w:spacing w:after="40"/>
      </w:pPr>
      <w:r>
        <w:rPr>
          <w:b/>
          <w:i w:val="0"/>
          <w:sz w:val="20"/>
        </w:rPr>
        <w:t>Ibuprofen and age.</w:t>
      </w:r>
      <w:r>
        <w:rPr>
          <w:b w:val="0"/>
          <w:i w:val="0"/>
          <w:sz w:val="20"/>
        </w:rPr>
        <w:t xml:space="preserve"> Ibuprofen is avoided in young infants, as there is a lower age limit below which it is not used, which distinguishes it from acetaminophen.</w:t>
      </w:r>
    </w:p>
    <w:p>
      <w:pPr>
        <w:pStyle w:val="ListBullet"/>
        <w:spacing w:after="40"/>
      </w:pPr>
      <w:r>
        <w:rPr>
          <w:b/>
          <w:i w:val="0"/>
          <w:sz w:val="20"/>
        </w:rPr>
        <w:t>Who should avoid ibuprofen.</w:t>
      </w:r>
      <w:r>
        <w:rPr>
          <w:b w:val="0"/>
          <w:i w:val="0"/>
          <w:sz w:val="20"/>
        </w:rPr>
        <w:t xml:space="preserve"> Avoid it in patients with asthma it may worsen, previous ulcer or perforation, or renal impairment; asthma is the easiest to forget.</w:t>
      </w:r>
    </w:p>
    <w:p>
      <w:pPr>
        <w:pStyle w:val="ListBullet"/>
        <w:spacing w:after="40"/>
      </w:pPr>
      <w:r>
        <w:rPr>
          <w:b/>
          <w:i w:val="0"/>
          <w:sz w:val="20"/>
        </w:rPr>
        <w:t>Ibuprofen adverse effects.</w:t>
      </w:r>
      <w:r>
        <w:rPr>
          <w:b w:val="0"/>
          <w:i w:val="0"/>
          <w:sz w:val="20"/>
        </w:rPr>
        <w:t xml:space="preserve"> The main ones fall on the gastrointestinal tract and the kidney (ulceration and bleeding, falling clearance, fluid retention and edema), both from prostaglandin blockade.</w:t>
      </w:r>
    </w:p>
    <w:p>
      <w:pPr>
        <w:pStyle w:val="ListBullet"/>
        <w:spacing w:after="40"/>
      </w:pPr>
      <w:r>
        <w:rPr>
          <w:b/>
          <w:i w:val="0"/>
          <w:sz w:val="20"/>
        </w:rPr>
        <w:t>Ibuprofen with an anticoagulant.</w:t>
      </w:r>
      <w:r>
        <w:rPr>
          <w:b w:val="0"/>
          <w:i w:val="0"/>
          <w:sz w:val="20"/>
        </w:rPr>
        <w:t xml:space="preserve"> Prothrombin time is prolonged, with a risk of serious gastrointestinal bleeding; the combination is worse than either alone.</w:t>
      </w:r>
    </w:p>
    <w:p>
      <w:pPr>
        <w:pStyle w:val="ListBullet"/>
        <w:spacing w:after="40"/>
      </w:pPr>
      <w:r>
        <w:rPr>
          <w:b/>
          <w:i w:val="0"/>
          <w:sz w:val="20"/>
        </w:rPr>
        <w:t>Acetaminophen and regular alcohol.</w:t>
      </w:r>
      <w:r>
        <w:rPr>
          <w:b w:val="0"/>
          <w:i w:val="0"/>
          <w:sz w:val="20"/>
        </w:rPr>
        <w:t xml:space="preserve"> The combination risks liver damage over time; neither is dangerous on its own at ordinary use.</w:t>
      </w:r>
    </w:p>
    <w:p>
      <w:pPr>
        <w:pStyle w:val="ListBullet"/>
        <w:spacing w:after="40"/>
      </w:pPr>
      <w:r>
        <w:rPr>
          <w:b/>
          <w:i w:val="0"/>
          <w:sz w:val="20"/>
        </w:rPr>
        <w:t>Ibuprofen versus aspirin.</w:t>
      </w:r>
      <w:r>
        <w:rPr>
          <w:b w:val="0"/>
          <w:i w:val="0"/>
          <w:sz w:val="20"/>
        </w:rPr>
        <w:t xml:space="preserve"> At cyclooxygenase, ibuprofen inhibits reversibly rather than irreversibly, so the effect lifts as the drug clears and it is not used as an antiplatelet the way aspirin is.</w:t>
      </w:r>
    </w:p>
    <w:p>
      <w:pPr>
        <w:pStyle w:val="Heading2"/>
        <w:spacing w:before="200" w:after="100"/>
      </w:pPr>
      <w:r>
        <w:rPr>
          <w:rFonts w:ascii="Georgia" w:hAnsi="Georgia"/>
          <w:color w:val="6B3524"/>
        </w:rPr>
        <w:t>2.6 · Objectives 1–6 — Histamine and the H1 antagonists</w:t>
      </w:r>
    </w:p>
    <w:p>
      <w:pPr>
        <w:spacing w:after="120"/>
      </w:pPr>
      <w:r>
        <w:rPr>
          <w:b w:val="0"/>
          <w:i w:val="0"/>
        </w:rPr>
        <w:t xml:space="preserve">Histamine is released from immune cells and produces the </w:t>
      </w:r>
      <w:r>
        <w:rPr>
          <w:b/>
          <w:i w:val="0"/>
        </w:rPr>
        <w:t>triple response</w:t>
      </w:r>
      <w:r>
        <w:rPr>
          <w:b w:val="0"/>
          <w:i w:val="0"/>
        </w:rPr>
        <w:t xml:space="preserve">: </w:t>
      </w:r>
      <w:r>
        <w:rPr>
          <w:b/>
          <w:i w:val="0"/>
        </w:rPr>
        <w:t>redness</w:t>
      </w:r>
      <w:r>
        <w:rPr>
          <w:b w:val="0"/>
          <w:i w:val="0"/>
        </w:rPr>
        <w:t xml:space="preserve"> (direct vasodilation), </w:t>
      </w:r>
      <w:r>
        <w:rPr>
          <w:b/>
          <w:i w:val="0"/>
        </w:rPr>
        <w:t>wheal</w:t>
      </w:r>
      <w:r>
        <w:rPr>
          <w:b w:val="0"/>
          <w:i w:val="0"/>
        </w:rPr>
        <w:t xml:space="preserve"> (edema from post-capillary permeability) and </w:t>
      </w:r>
      <w:r>
        <w:rPr>
          <w:b/>
          <w:i w:val="0"/>
        </w:rPr>
        <w:t>flare</w:t>
      </w:r>
      <w:r>
        <w:rPr>
          <w:b w:val="0"/>
          <w:i w:val="0"/>
        </w:rPr>
        <w:t xml:space="preserve"> (redness around the primary insult, from reflex axonal vasodilation).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B3524"/>
          </w:tcPr>
          <w:p>
            <w:pPr>
              <w:spacing w:after="40"/>
            </w:pPr>
            <w:r>
              <w:rPr>
                <w:b/>
                <w:color w:val="FFFFFF"/>
                <w:sz w:val="18"/>
              </w:rPr>
            </w:r>
            <w:r>
              <w:rPr>
                <w:b/>
                <w:i w:val="0"/>
                <w:color w:val="FFFFFF"/>
                <w:sz w:val="18"/>
              </w:rPr>
              <w:t>Tissue</w:t>
            </w:r>
          </w:p>
        </w:tc>
        <w:tc>
          <w:tcPr>
            <w:tcW w:type="dxa" w:w="4848"/>
            <w:shd w:val="clear" w:color="auto" w:fill="6B3524"/>
          </w:tcPr>
          <w:p>
            <w:pPr>
              <w:spacing w:after="40"/>
            </w:pPr>
            <w:r>
              <w:rPr>
                <w:b/>
                <w:color w:val="FFFFFF"/>
                <w:sz w:val="18"/>
              </w:rPr>
            </w:r>
            <w:r>
              <w:rPr>
                <w:b/>
                <w:i w:val="0"/>
                <w:color w:val="FFFFFF"/>
                <w:sz w:val="18"/>
              </w:rPr>
              <w:t>Receptor</w:t>
            </w:r>
          </w:p>
        </w:tc>
        <w:tc>
          <w:tcPr>
            <w:tcW w:type="dxa" w:w="4848"/>
            <w:shd w:val="clear" w:color="auto" w:fill="6B3524"/>
          </w:tcPr>
          <w:p>
            <w:pPr>
              <w:spacing w:after="40"/>
            </w:pPr>
            <w:r>
              <w:rPr>
                <w:b/>
                <w:color w:val="FFFFFF"/>
                <w:sz w:val="18"/>
              </w:rPr>
            </w:r>
            <w:r>
              <w:rPr>
                <w:b/>
                <w:i w:val="0"/>
                <w:color w:val="FFFFFF"/>
                <w:sz w:val="18"/>
              </w:rPr>
              <w:t>Action</w:t>
            </w:r>
          </w:p>
        </w:tc>
      </w:tr>
      <w:tr>
        <w:tc>
          <w:tcPr>
            <w:tcW w:type="dxa" w:w="4848"/>
          </w:tcPr>
          <w:p>
            <w:pPr>
              <w:spacing w:after="40"/>
            </w:pPr>
            <w:r>
              <w:rPr>
                <w:sz w:val="18"/>
              </w:rPr>
            </w:r>
            <w:r>
              <w:rPr>
                <w:b w:val="0"/>
                <w:i w:val="0"/>
                <w:sz w:val="18"/>
              </w:rPr>
              <w:t>Vascular</w:t>
            </w:r>
          </w:p>
        </w:tc>
        <w:tc>
          <w:tcPr>
            <w:tcW w:type="dxa" w:w="4848"/>
          </w:tcPr>
          <w:p>
            <w:pPr>
              <w:spacing w:after="40"/>
            </w:pPr>
            <w:r>
              <w:rPr>
                <w:sz w:val="18"/>
              </w:rPr>
            </w:r>
            <w:r>
              <w:rPr>
                <w:b w:val="0"/>
                <w:i w:val="0"/>
                <w:sz w:val="18"/>
              </w:rPr>
              <w:t>H1 and H2</w:t>
            </w:r>
          </w:p>
        </w:tc>
        <w:tc>
          <w:tcPr>
            <w:tcW w:type="dxa" w:w="4848"/>
          </w:tcPr>
          <w:p>
            <w:pPr>
              <w:spacing w:after="40"/>
            </w:pPr>
            <w:r>
              <w:rPr>
                <w:sz w:val="18"/>
              </w:rPr>
            </w:r>
            <w:r>
              <w:rPr>
                <w:b w:val="0"/>
                <w:i w:val="0"/>
                <w:sz w:val="18"/>
              </w:rPr>
              <w:t>↓ total peripheral resistance</w:t>
            </w:r>
          </w:p>
        </w:tc>
      </w:tr>
      <w:tr>
        <w:tc>
          <w:tcPr>
            <w:tcW w:type="dxa" w:w="4848"/>
          </w:tcPr>
          <w:p>
            <w:pPr>
              <w:spacing w:after="40"/>
            </w:pPr>
            <w:r>
              <w:rPr>
                <w:sz w:val="18"/>
              </w:rPr>
            </w:r>
            <w:r>
              <w:rPr>
                <w:b w:val="0"/>
                <w:i w:val="0"/>
                <w:sz w:val="18"/>
              </w:rPr>
              <w:t>Postcapillary venules</w:t>
            </w:r>
          </w:p>
        </w:tc>
        <w:tc>
          <w:tcPr>
            <w:tcW w:type="dxa" w:w="4848"/>
          </w:tcPr>
          <w:p>
            <w:pPr>
              <w:spacing w:after="40"/>
            </w:pPr>
            <w:r>
              <w:rPr>
                <w:sz w:val="18"/>
              </w:rPr>
            </w:r>
            <w:r>
              <w:rPr>
                <w:b w:val="0"/>
                <w:i w:val="0"/>
                <w:sz w:val="18"/>
              </w:rPr>
              <w:t>H1</w:t>
            </w:r>
          </w:p>
        </w:tc>
        <w:tc>
          <w:tcPr>
            <w:tcW w:type="dxa" w:w="4848"/>
          </w:tcPr>
          <w:p>
            <w:pPr>
              <w:spacing w:after="40"/>
            </w:pPr>
            <w:r>
              <w:rPr>
                <w:sz w:val="18"/>
              </w:rPr>
            </w:r>
            <w:r>
              <w:rPr>
                <w:b w:val="0"/>
                <w:i w:val="0"/>
                <w:sz w:val="18"/>
              </w:rPr>
              <w:t>↑ permeability</w:t>
            </w:r>
          </w:p>
        </w:tc>
      </w:tr>
      <w:tr>
        <w:tc>
          <w:tcPr>
            <w:tcW w:type="dxa" w:w="4848"/>
          </w:tcPr>
          <w:p>
            <w:pPr>
              <w:spacing w:after="40"/>
            </w:pPr>
            <w:r>
              <w:rPr>
                <w:sz w:val="18"/>
              </w:rPr>
            </w:r>
            <w:r>
              <w:rPr>
                <w:b w:val="0"/>
                <w:i w:val="0"/>
                <w:sz w:val="18"/>
              </w:rPr>
              <w:t>Heart</w:t>
            </w:r>
          </w:p>
        </w:tc>
        <w:tc>
          <w:tcPr>
            <w:tcW w:type="dxa" w:w="4848"/>
          </w:tcPr>
          <w:p>
            <w:pPr>
              <w:spacing w:after="40"/>
            </w:pPr>
            <w:r>
              <w:rPr>
                <w:sz w:val="18"/>
              </w:rPr>
            </w:r>
            <w:r>
              <w:rPr>
                <w:b w:val="0"/>
                <w:i w:val="0"/>
                <w:sz w:val="18"/>
              </w:rPr>
              <w:t>H1 / H2</w:t>
            </w:r>
          </w:p>
        </w:tc>
        <w:tc>
          <w:tcPr>
            <w:tcW w:type="dxa" w:w="4848"/>
          </w:tcPr>
          <w:p>
            <w:pPr>
              <w:spacing w:after="40"/>
            </w:pPr>
            <w:r>
              <w:rPr>
                <w:sz w:val="18"/>
              </w:rPr>
            </w:r>
            <w:r>
              <w:rPr>
                <w:b w:val="0"/>
                <w:i w:val="0"/>
                <w:sz w:val="18"/>
              </w:rPr>
              <w:t>↑ heart rate / ↑ force of contraction</w:t>
            </w:r>
          </w:p>
        </w:tc>
      </w:tr>
      <w:tr>
        <w:tc>
          <w:tcPr>
            <w:tcW w:type="dxa" w:w="4848"/>
          </w:tcPr>
          <w:p>
            <w:pPr>
              <w:spacing w:after="40"/>
            </w:pPr>
            <w:r>
              <w:rPr>
                <w:sz w:val="18"/>
              </w:rPr>
            </w:r>
            <w:r>
              <w:rPr>
                <w:b w:val="0"/>
                <w:i w:val="0"/>
                <w:sz w:val="18"/>
              </w:rPr>
              <w:t>Bronchiolar smooth muscle</w:t>
            </w:r>
          </w:p>
        </w:tc>
        <w:tc>
          <w:tcPr>
            <w:tcW w:type="dxa" w:w="4848"/>
          </w:tcPr>
          <w:p>
            <w:pPr>
              <w:spacing w:after="40"/>
            </w:pPr>
            <w:r>
              <w:rPr>
                <w:sz w:val="18"/>
              </w:rPr>
            </w:r>
            <w:r>
              <w:rPr>
                <w:b w:val="0"/>
                <w:i w:val="0"/>
                <w:sz w:val="18"/>
              </w:rPr>
              <w:t>H1 / H2</w:t>
            </w:r>
          </w:p>
        </w:tc>
        <w:tc>
          <w:tcPr>
            <w:tcW w:type="dxa" w:w="4848"/>
          </w:tcPr>
          <w:p>
            <w:pPr>
              <w:spacing w:after="40"/>
            </w:pPr>
            <w:r>
              <w:rPr>
                <w:sz w:val="18"/>
              </w:rPr>
            </w:r>
            <w:r>
              <w:rPr>
                <w:b w:val="0"/>
                <w:i w:val="0"/>
                <w:sz w:val="18"/>
              </w:rPr>
              <w:t>Contraction / relaxation</w:t>
            </w:r>
          </w:p>
        </w:tc>
      </w:tr>
      <w:tr>
        <w:tc>
          <w:tcPr>
            <w:tcW w:type="dxa" w:w="4848"/>
          </w:tcPr>
          <w:p>
            <w:pPr>
              <w:spacing w:after="40"/>
            </w:pPr>
            <w:r>
              <w:rPr>
                <w:sz w:val="18"/>
              </w:rPr>
            </w:r>
            <w:r>
              <w:rPr>
                <w:b w:val="0"/>
                <w:i w:val="0"/>
                <w:sz w:val="18"/>
              </w:rPr>
              <w:t>Gastrointestinal smooth muscle</w:t>
            </w:r>
          </w:p>
        </w:tc>
        <w:tc>
          <w:tcPr>
            <w:tcW w:type="dxa" w:w="4848"/>
          </w:tcPr>
          <w:p>
            <w:pPr>
              <w:spacing w:after="40"/>
            </w:pPr>
            <w:r>
              <w:rPr>
                <w:sz w:val="18"/>
              </w:rPr>
            </w:r>
            <w:r>
              <w:rPr>
                <w:b w:val="0"/>
                <w:i w:val="0"/>
                <w:sz w:val="18"/>
              </w:rPr>
              <w:t>H1</w:t>
            </w:r>
          </w:p>
        </w:tc>
        <w:tc>
          <w:tcPr>
            <w:tcW w:type="dxa" w:w="4848"/>
          </w:tcPr>
          <w:p>
            <w:pPr>
              <w:spacing w:after="40"/>
            </w:pPr>
            <w:r>
              <w:rPr>
                <w:sz w:val="18"/>
              </w:rPr>
            </w:r>
            <w:r>
              <w:rPr>
                <w:b w:val="0"/>
                <w:i w:val="0"/>
                <w:sz w:val="18"/>
              </w:rPr>
              <w:t>Constriction</w:t>
            </w:r>
          </w:p>
        </w:tc>
      </w:tr>
      <w:tr>
        <w:tc>
          <w:tcPr>
            <w:tcW w:type="dxa" w:w="4848"/>
          </w:tcPr>
          <w:p>
            <w:pPr>
              <w:spacing w:after="40"/>
            </w:pPr>
            <w:r>
              <w:rPr>
                <w:sz w:val="18"/>
              </w:rPr>
            </w:r>
            <w:r>
              <w:rPr>
                <w:b w:val="0"/>
                <w:i w:val="0"/>
                <w:sz w:val="18"/>
              </w:rPr>
              <w:t>Gastrointestinal mucosa</w:t>
            </w:r>
          </w:p>
        </w:tc>
        <w:tc>
          <w:tcPr>
            <w:tcW w:type="dxa" w:w="4848"/>
          </w:tcPr>
          <w:p>
            <w:pPr>
              <w:spacing w:after="40"/>
            </w:pPr>
            <w:r>
              <w:rPr>
                <w:sz w:val="18"/>
              </w:rPr>
            </w:r>
            <w:r>
              <w:rPr>
                <w:b w:val="0"/>
                <w:i w:val="0"/>
                <w:sz w:val="18"/>
              </w:rPr>
              <w:t>H2</w:t>
            </w:r>
          </w:p>
        </w:tc>
        <w:tc>
          <w:tcPr>
            <w:tcW w:type="dxa" w:w="4848"/>
          </w:tcPr>
          <w:p>
            <w:pPr>
              <w:spacing w:after="40"/>
            </w:pPr>
            <w:r>
              <w:rPr>
                <w:sz w:val="18"/>
              </w:rPr>
            </w:r>
            <w:r>
              <w:rPr>
                <w:b w:val="0"/>
                <w:i w:val="0"/>
                <w:sz w:val="18"/>
              </w:rPr>
              <w:t>Gastric acid and pepsin secretion</w:t>
            </w:r>
          </w:p>
        </w:tc>
      </w:tr>
      <w:tr>
        <w:tc>
          <w:tcPr>
            <w:tcW w:type="dxa" w:w="4848"/>
          </w:tcPr>
          <w:p>
            <w:pPr>
              <w:spacing w:after="40"/>
            </w:pPr>
            <w:r>
              <w:rPr>
                <w:sz w:val="18"/>
              </w:rPr>
            </w:r>
            <w:r>
              <w:rPr>
                <w:b w:val="0"/>
                <w:i w:val="0"/>
                <w:sz w:val="18"/>
              </w:rPr>
              <w:t>Cutaneous nerve endings</w:t>
            </w:r>
          </w:p>
        </w:tc>
        <w:tc>
          <w:tcPr>
            <w:tcW w:type="dxa" w:w="4848"/>
          </w:tcPr>
          <w:p>
            <w:pPr>
              <w:spacing w:after="40"/>
            </w:pPr>
            <w:r>
              <w:rPr>
                <w:sz w:val="18"/>
              </w:rPr>
            </w:r>
            <w:r>
              <w:rPr>
                <w:b w:val="0"/>
                <w:i w:val="0"/>
                <w:sz w:val="18"/>
              </w:rPr>
              <w:t>H1</w:t>
            </w:r>
          </w:p>
        </w:tc>
        <w:tc>
          <w:tcPr>
            <w:tcW w:type="dxa" w:w="4848"/>
          </w:tcPr>
          <w:p>
            <w:pPr>
              <w:spacing w:after="40"/>
            </w:pPr>
            <w:r>
              <w:rPr>
                <w:sz w:val="18"/>
              </w:rPr>
            </w:r>
            <w:r>
              <w:rPr>
                <w:b w:val="0"/>
                <w:i w:val="0"/>
                <w:sz w:val="18"/>
              </w:rPr>
              <w:t>Pain and itch</w:t>
            </w:r>
          </w:p>
        </w:tc>
      </w:tr>
    </w:tbl>
    <w:p>
      <w:pPr>
        <w:spacing w:after="80"/>
      </w:pPr>
    </w:p>
    <w:p>
      <w:pPr>
        <w:spacing w:after="120"/>
      </w:pPr>
      <w:r>
        <w:rPr>
          <w:b w:val="0"/>
          <w:i w:val="0"/>
        </w:rPr>
        <w:t xml:space="preserve">The receptor mechanisms (Objective 2): </w:t>
      </w:r>
      <w:r>
        <w:rPr>
          <w:b/>
          <w:i w:val="0"/>
        </w:rPr>
        <w:t>H1</w:t>
      </w:r>
      <w:r>
        <w:rPr>
          <w:b w:val="0"/>
          <w:i w:val="0"/>
        </w:rPr>
        <w:t xml:space="preserve"> activates phospholipase C (inositol trisphosphate and diacylglycerol raise calcium, contracting venules, so post-capillary permeability rises); causes rapid, short vasodilation through endothelial nitric oxide; raises nasal, bronchial and gastrointestinal mucus; raises smooth muscle tone; stimulates sensory nerve endings; and bronchoconstricts. </w:t>
      </w:r>
      <w:r>
        <w:rPr>
          <w:b/>
          <w:i w:val="0"/>
        </w:rPr>
        <w:t>H2</w:t>
      </w:r>
      <w:r>
        <w:rPr>
          <w:b w:val="0"/>
          <w:i w:val="0"/>
        </w:rPr>
        <w:t xml:space="preserve"> activates adenylate cyclase (raising cyclic AMP), raises gastric acid, gives slow, long vasodilation, raises cardiac contractility, raises mucus and lowers smooth muscle tone.</w:t>
      </w:r>
    </w:p>
    <w:p>
      <w:pPr>
        <w:spacing w:after="120"/>
      </w:pPr>
      <w:r>
        <w:rPr>
          <w:b/>
          <w:i w:val="0"/>
        </w:rPr>
        <w:t>H1 antagonists</w:t>
      </w:r>
      <w:r>
        <w:rPr>
          <w:b w:val="0"/>
          <w:i w:val="0"/>
        </w:rPr>
        <w:t xml:space="preserve"> reverse the H1 list: they block gastrointestinal and bronchial smooth muscle contraction and rapid vasodilation, and decrease nasal and bronchial secretions, edema and vascular permeability, hives and itch. Indications: </w:t>
      </w:r>
      <w:r>
        <w:rPr>
          <w:b/>
          <w:i w:val="0"/>
        </w:rPr>
        <w:t>allergic reactions</w:t>
      </w:r>
      <w:r>
        <w:rPr>
          <w:b w:val="0"/>
          <w:i w:val="0"/>
        </w:rPr>
        <w:t xml:space="preserve"> (allergic rhinitis, urticaria, insect bites, drug hypersensitivity); </w:t>
      </w:r>
      <w:r>
        <w:rPr>
          <w:b/>
          <w:i w:val="0"/>
        </w:rPr>
        <w:t>motion sickness, nausea and vestibular disturbances</w:t>
      </w:r>
      <w:r>
        <w:rPr>
          <w:b w:val="0"/>
          <w:i w:val="0"/>
        </w:rPr>
        <w:t xml:space="preserve">; </w:t>
      </w:r>
      <w:r>
        <w:rPr>
          <w:b/>
          <w:i w:val="0"/>
        </w:rPr>
        <w:t>over-the-counter sleep remedies</w:t>
      </w:r>
      <w:r>
        <w:rPr>
          <w:b w:val="0"/>
          <w:i w:val="0"/>
        </w:rPr>
        <w:t xml:space="preserve">; and an </w:t>
      </w:r>
      <w:r>
        <w:rPr>
          <w:b/>
          <w:i w:val="0"/>
        </w:rPr>
        <w:t>adjuvant role in anaphylaxis</w:t>
      </w:r>
      <w:r>
        <w:rPr>
          <w:b w:val="0"/>
          <w:i w:val="0"/>
        </w:rPr>
        <w:t xml:space="preserve"> — adjuvant, not the treatment.</w:t>
      </w:r>
    </w:p>
    <w:p>
      <w:pPr>
        <w:spacing w:after="120"/>
      </w:pPr>
      <w:r>
        <w:rPr>
          <w:b/>
          <w:i w:val="0"/>
        </w:rPr>
        <w:t>One distinction explains most of the class.</w:t>
      </w:r>
      <w:r>
        <w:rPr>
          <w:b w:val="0"/>
          <w:i w:val="0"/>
        </w:rPr>
        <w:t xml:space="preserve"> </w:t>
      </w:r>
      <w:r>
        <w:rPr>
          <w:b/>
          <w:i w:val="0"/>
        </w:rPr>
        <w:t>First generation</w:t>
      </w:r>
      <w:r>
        <w:rPr>
          <w:b w:val="0"/>
          <w:i w:val="0"/>
        </w:rPr>
        <w:t xml:space="preserve"> agents enter the central nervous system and act on other receptor systems too — </w:t>
      </w:r>
      <w:r>
        <w:rPr>
          <w:b/>
          <w:i w:val="0"/>
        </w:rPr>
        <w:t>antiemetic, antimuscarinic and antiserotonergic</w:t>
      </w:r>
      <w:r>
        <w:rPr>
          <w:b w:val="0"/>
          <w:i w:val="0"/>
        </w:rPr>
        <w:t xml:space="preserve">. So they sedate (the </w:t>
      </w:r>
      <w:r>
        <w:rPr>
          <w:b/>
          <w:i w:val="0"/>
        </w:rPr>
        <w:t>major side effect</w:t>
      </w:r>
      <w:r>
        <w:rPr>
          <w:b w:val="0"/>
          <w:i w:val="0"/>
        </w:rPr>
        <w:t xml:space="preserve">, additive with alcohol and other central depressants, and the reason doxylamine is sold as a sleep aid), they dry secretions, they treat motion sickness, and at higher doses — especially in children, and in overdose — they cause </w:t>
      </w:r>
      <w:r>
        <w:rPr>
          <w:b/>
          <w:i w:val="0"/>
        </w:rPr>
        <w:t>restlessness and excitation</w:t>
      </w:r>
      <w:r>
        <w:rPr>
          <w:b w:val="0"/>
          <w:i w:val="0"/>
        </w:rPr>
        <w:t xml:space="preserve">. </w:t>
      </w:r>
      <w:r>
        <w:rPr>
          <w:b/>
          <w:i w:val="0"/>
        </w:rPr>
        <w:t>Second generation</w:t>
      </w:r>
      <w:r>
        <w:rPr>
          <w:b w:val="0"/>
          <w:i w:val="0"/>
        </w:rPr>
        <w:t xml:space="preserve"> agents do not enter the central nervous system, so they cause </w:t>
      </w:r>
      <w:r>
        <w:rPr>
          <w:b/>
          <w:i w:val="0"/>
        </w:rPr>
        <w:t>much less sedation</w:t>
      </w:r>
      <w:r>
        <w:rPr>
          <w:b w:val="0"/>
          <w:i w:val="0"/>
        </w:rPr>
        <w:t xml:space="preserve">. </w:t>
      </w:r>
      <w:r>
        <w:rPr>
          <w:b/>
          <w:i w:val="0"/>
        </w:rPr>
        <w:t>Promethazine</w:t>
      </w:r>
      <w:r>
        <w:rPr>
          <w:b w:val="0"/>
          <w:i w:val="0"/>
        </w:rPr>
        <w:t xml:space="preserve"> has the strongest antimuscarinic action, especially for motion sickness.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6B3524"/>
          </w:tcPr>
          <w:p>
            <w:pPr>
              <w:spacing w:after="40"/>
            </w:pPr>
            <w:r>
              <w:rPr>
                <w:b/>
                <w:color w:val="FFFFFF"/>
                <w:sz w:val="18"/>
              </w:rPr>
            </w:r>
            <w:r>
              <w:rPr>
                <w:b/>
                <w:i w:val="0"/>
                <w:color w:val="FFFFFF"/>
                <w:sz w:val="18"/>
              </w:rPr>
              <w:t>Agent</w:t>
            </w:r>
          </w:p>
        </w:tc>
        <w:tc>
          <w:tcPr>
            <w:tcW w:type="dxa" w:w="3636"/>
            <w:shd w:val="clear" w:color="auto" w:fill="6B3524"/>
          </w:tcPr>
          <w:p>
            <w:pPr>
              <w:spacing w:after="40"/>
            </w:pPr>
            <w:r>
              <w:rPr>
                <w:b/>
                <w:color w:val="FFFFFF"/>
                <w:sz w:val="18"/>
              </w:rPr>
            </w:r>
            <w:r>
              <w:rPr>
                <w:b/>
                <w:i w:val="0"/>
                <w:color w:val="FFFFFF"/>
                <w:sz w:val="18"/>
              </w:rPr>
              <w:t>Sedation</w:t>
            </w:r>
          </w:p>
        </w:tc>
        <w:tc>
          <w:tcPr>
            <w:tcW w:type="dxa" w:w="3636"/>
            <w:shd w:val="clear" w:color="auto" w:fill="6B3524"/>
          </w:tcPr>
          <w:p>
            <w:pPr>
              <w:spacing w:after="40"/>
            </w:pPr>
            <w:r>
              <w:rPr>
                <w:b/>
                <w:color w:val="FFFFFF"/>
                <w:sz w:val="18"/>
              </w:rPr>
            </w:r>
            <w:r>
              <w:rPr>
                <w:b/>
                <w:i w:val="0"/>
                <w:color w:val="FFFFFF"/>
                <w:sz w:val="18"/>
              </w:rPr>
              <w:t>Antiemetic</w:t>
            </w:r>
          </w:p>
        </w:tc>
        <w:tc>
          <w:tcPr>
            <w:tcW w:type="dxa" w:w="3636"/>
            <w:shd w:val="clear" w:color="auto" w:fill="6B3524"/>
          </w:tcPr>
          <w:p>
            <w:pPr>
              <w:spacing w:after="40"/>
            </w:pPr>
            <w:r>
              <w:rPr>
                <w:b/>
                <w:color w:val="FFFFFF"/>
                <w:sz w:val="18"/>
              </w:rPr>
            </w:r>
            <w:r>
              <w:rPr>
                <w:b/>
                <w:i w:val="0"/>
                <w:color w:val="FFFFFF"/>
                <w:sz w:val="18"/>
              </w:rPr>
              <w:t>Anticholinergic</w:t>
            </w:r>
          </w:p>
        </w:tc>
      </w:tr>
      <w:tr>
        <w:tc>
          <w:tcPr>
            <w:tcW w:type="dxa" w:w="14544"/>
            <w:gridSpan w:val="4"/>
          </w:tcPr>
          <w:p>
            <w:pPr>
              <w:spacing w:after="40"/>
            </w:pPr>
            <w:r/>
          </w:p>
        </w:tc>
      </w:tr>
      <w:tr>
        <w:tc>
          <w:tcPr>
            <w:tcW w:type="dxa" w:w="3636"/>
          </w:tcPr>
          <w:p>
            <w:pPr>
              <w:spacing w:after="40"/>
            </w:pPr>
            <w:r>
              <w:rPr>
                <w:sz w:val="18"/>
              </w:rPr>
            </w:r>
            <w:r>
              <w:rPr>
                <w:b w:val="0"/>
                <w:i w:val="0"/>
                <w:sz w:val="18"/>
              </w:rPr>
              <w:t>Chlorpheniramine (Chlor-Trimeton)</w:t>
            </w:r>
          </w:p>
        </w:tc>
        <w:tc>
          <w:tcPr>
            <w:tcW w:type="dxa" w:w="3636"/>
          </w:tcPr>
          <w:p>
            <w:pPr>
              <w:spacing w:after="40"/>
            </w:pPr>
            <w:r>
              <w:rPr>
                <w:sz w:val="18"/>
              </w:rPr>
            </w:r>
            <w:r>
              <w:rPr>
                <w:b w:val="0"/>
                <w:i w:val="0"/>
                <w:sz w:val="18"/>
              </w:rPr>
              <w:t>Medium</w:t>
            </w:r>
          </w:p>
        </w:tc>
        <w:tc>
          <w:tcPr>
            <w:tcW w:type="dxa" w:w="3636"/>
          </w:tcPr>
          <w:p>
            <w:pPr>
              <w:spacing w:after="40"/>
            </w:pPr>
            <w:r>
              <w:rPr>
                <w:sz w:val="18"/>
              </w:rPr>
            </w:r>
            <w:r>
              <w:rPr>
                <w:b w:val="0"/>
                <w:i w:val="0"/>
                <w:sz w:val="18"/>
              </w:rPr>
              <w:t>None</w:t>
            </w:r>
          </w:p>
        </w:tc>
        <w:tc>
          <w:tcPr>
            <w:tcW w:type="dxa" w:w="3636"/>
          </w:tcPr>
          <w:p>
            <w:pPr>
              <w:spacing w:after="40"/>
            </w:pPr>
            <w:r>
              <w:rPr>
                <w:sz w:val="18"/>
              </w:rPr>
            </w:r>
            <w:r>
              <w:rPr>
                <w:b w:val="0"/>
                <w:i w:val="0"/>
                <w:sz w:val="18"/>
              </w:rPr>
              <w:t>Medium</w:t>
            </w:r>
          </w:p>
        </w:tc>
      </w:tr>
      <w:tr>
        <w:tc>
          <w:tcPr>
            <w:tcW w:type="dxa" w:w="3636"/>
          </w:tcPr>
          <w:p>
            <w:pPr>
              <w:spacing w:after="40"/>
            </w:pPr>
            <w:r>
              <w:rPr>
                <w:sz w:val="18"/>
              </w:rPr>
            </w:r>
            <w:r>
              <w:rPr>
                <w:b w:val="0"/>
                <w:i w:val="0"/>
                <w:sz w:val="18"/>
              </w:rPr>
              <w:t>Dimenhydrinate (Dramamine)</w:t>
            </w:r>
          </w:p>
        </w:tc>
        <w:tc>
          <w:tcPr>
            <w:tcW w:type="dxa" w:w="3636"/>
          </w:tcPr>
          <w:p>
            <w:pPr>
              <w:spacing w:after="40"/>
            </w:pPr>
            <w:r>
              <w:rPr>
                <w:sz w:val="18"/>
              </w:rPr>
            </w:r>
            <w:r>
              <w:rPr>
                <w:b w:val="0"/>
                <w:i w:val="0"/>
                <w:sz w:val="18"/>
              </w:rPr>
              <w:t>High</w:t>
            </w:r>
          </w:p>
        </w:tc>
        <w:tc>
          <w:tcPr>
            <w:tcW w:type="dxa" w:w="3636"/>
          </w:tcPr>
          <w:p>
            <w:pPr>
              <w:spacing w:after="40"/>
            </w:pPr>
            <w:r>
              <w:rPr>
                <w:sz w:val="18"/>
              </w:rPr>
            </w:r>
            <w:r>
              <w:rPr>
                <w:b w:val="0"/>
                <w:i w:val="0"/>
                <w:sz w:val="18"/>
              </w:rPr>
              <w:t>Medium</w:t>
            </w:r>
          </w:p>
        </w:tc>
        <w:tc>
          <w:tcPr>
            <w:tcW w:type="dxa" w:w="3636"/>
          </w:tcPr>
          <w:p>
            <w:pPr>
              <w:spacing w:after="40"/>
            </w:pPr>
            <w:r>
              <w:rPr>
                <w:sz w:val="18"/>
              </w:rPr>
            </w:r>
            <w:r>
              <w:rPr>
                <w:b w:val="0"/>
                <w:i w:val="0"/>
                <w:sz w:val="18"/>
              </w:rPr>
              <w:t>High</w:t>
            </w:r>
          </w:p>
        </w:tc>
      </w:tr>
      <w:tr>
        <w:tc>
          <w:tcPr>
            <w:tcW w:type="dxa" w:w="3636"/>
          </w:tcPr>
          <w:p>
            <w:pPr>
              <w:spacing w:after="40"/>
            </w:pPr>
            <w:r>
              <w:rPr>
                <w:sz w:val="18"/>
              </w:rPr>
            </w:r>
            <w:r>
              <w:rPr>
                <w:b w:val="0"/>
                <w:i w:val="0"/>
                <w:sz w:val="18"/>
              </w:rPr>
              <w:t>Diphenhydramine (Benadryl)</w:t>
            </w:r>
          </w:p>
        </w:tc>
        <w:tc>
          <w:tcPr>
            <w:tcW w:type="dxa" w:w="3636"/>
          </w:tcPr>
          <w:p>
            <w:pPr>
              <w:spacing w:after="40"/>
            </w:pPr>
            <w:r>
              <w:rPr>
                <w:sz w:val="18"/>
              </w:rPr>
            </w:r>
            <w:r>
              <w:rPr>
                <w:b w:val="0"/>
                <w:i w:val="0"/>
                <w:sz w:val="18"/>
              </w:rPr>
              <w:t>High</w:t>
            </w:r>
          </w:p>
        </w:tc>
        <w:tc>
          <w:tcPr>
            <w:tcW w:type="dxa" w:w="3636"/>
          </w:tcPr>
          <w:p>
            <w:pPr>
              <w:spacing w:after="40"/>
            </w:pPr>
            <w:r>
              <w:rPr>
                <w:sz w:val="18"/>
              </w:rPr>
            </w:r>
            <w:r>
              <w:rPr>
                <w:b w:val="0"/>
                <w:i w:val="0"/>
                <w:sz w:val="18"/>
              </w:rPr>
              <w:t>Medium</w:t>
            </w:r>
          </w:p>
        </w:tc>
        <w:tc>
          <w:tcPr>
            <w:tcW w:type="dxa" w:w="3636"/>
          </w:tcPr>
          <w:p>
            <w:pPr>
              <w:spacing w:after="40"/>
            </w:pPr>
            <w:r>
              <w:rPr>
                <w:sz w:val="18"/>
              </w:rPr>
            </w:r>
            <w:r>
              <w:rPr>
                <w:b w:val="0"/>
                <w:i w:val="0"/>
                <w:sz w:val="18"/>
              </w:rPr>
              <w:t>High</w:t>
            </w:r>
          </w:p>
        </w:tc>
      </w:tr>
      <w:tr>
        <w:tc>
          <w:tcPr>
            <w:tcW w:type="dxa" w:w="3636"/>
          </w:tcPr>
          <w:p>
            <w:pPr>
              <w:spacing w:after="40"/>
            </w:pPr>
            <w:r>
              <w:rPr>
                <w:sz w:val="18"/>
              </w:rPr>
            </w:r>
            <w:r>
              <w:rPr>
                <w:b w:val="0"/>
                <w:i w:val="0"/>
                <w:sz w:val="18"/>
              </w:rPr>
              <w:t>Hydroxyzine (Atarax)</w:t>
            </w:r>
          </w:p>
        </w:tc>
        <w:tc>
          <w:tcPr>
            <w:tcW w:type="dxa" w:w="3636"/>
          </w:tcPr>
          <w:p>
            <w:pPr>
              <w:spacing w:after="40"/>
            </w:pPr>
            <w:r>
              <w:rPr>
                <w:sz w:val="18"/>
              </w:rPr>
            </w:r>
            <w:r>
              <w:rPr>
                <w:b w:val="0"/>
                <w:i w:val="0"/>
                <w:sz w:val="18"/>
              </w:rPr>
              <w:t>High</w:t>
            </w:r>
          </w:p>
        </w:tc>
        <w:tc>
          <w:tcPr>
            <w:tcW w:type="dxa" w:w="3636"/>
          </w:tcPr>
          <w:p>
            <w:pPr>
              <w:spacing w:after="40"/>
            </w:pPr>
            <w:r>
              <w:rPr>
                <w:sz w:val="18"/>
              </w:rPr>
            </w:r>
            <w:r>
              <w:rPr>
                <w:b w:val="0"/>
                <w:i w:val="0"/>
                <w:sz w:val="18"/>
              </w:rPr>
              <w:t>High</w:t>
            </w:r>
          </w:p>
        </w:tc>
        <w:tc>
          <w:tcPr>
            <w:tcW w:type="dxa" w:w="3636"/>
          </w:tcPr>
          <w:p>
            <w:pPr>
              <w:spacing w:after="40"/>
            </w:pPr>
            <w:r>
              <w:rPr>
                <w:sz w:val="18"/>
              </w:rPr>
            </w:r>
            <w:r>
              <w:rPr>
                <w:b w:val="0"/>
                <w:i w:val="0"/>
                <w:sz w:val="18"/>
              </w:rPr>
              <w:t>Medium</w:t>
            </w:r>
          </w:p>
        </w:tc>
      </w:tr>
      <w:tr>
        <w:tc>
          <w:tcPr>
            <w:tcW w:type="dxa" w:w="3636"/>
          </w:tcPr>
          <w:p>
            <w:pPr>
              <w:spacing w:after="40"/>
            </w:pPr>
            <w:r>
              <w:rPr>
                <w:sz w:val="18"/>
              </w:rPr>
            </w:r>
            <w:r>
              <w:rPr>
                <w:b w:val="0"/>
                <w:i w:val="0"/>
                <w:sz w:val="18"/>
              </w:rPr>
              <w:t>Meclizine (Antivert)</w:t>
            </w:r>
          </w:p>
        </w:tc>
        <w:tc>
          <w:tcPr>
            <w:tcW w:type="dxa" w:w="3636"/>
          </w:tcPr>
          <w:p>
            <w:pPr>
              <w:spacing w:after="40"/>
            </w:pPr>
            <w:r>
              <w:rPr>
                <w:sz w:val="18"/>
              </w:rPr>
            </w:r>
            <w:r>
              <w:rPr>
                <w:b w:val="0"/>
                <w:i w:val="0"/>
                <w:sz w:val="18"/>
              </w:rPr>
              <w:t>Medium</w:t>
            </w:r>
          </w:p>
        </w:tc>
        <w:tc>
          <w:tcPr>
            <w:tcW w:type="dxa" w:w="3636"/>
          </w:tcPr>
          <w:p>
            <w:pPr>
              <w:spacing w:after="40"/>
            </w:pPr>
            <w:r>
              <w:rPr>
                <w:sz w:val="18"/>
              </w:rPr>
            </w:r>
            <w:r>
              <w:rPr>
                <w:b w:val="0"/>
                <w:i w:val="0"/>
                <w:sz w:val="18"/>
              </w:rPr>
              <w:t>High</w:t>
            </w:r>
          </w:p>
        </w:tc>
        <w:tc>
          <w:tcPr>
            <w:tcW w:type="dxa" w:w="3636"/>
          </w:tcPr>
          <w:p>
            <w:pPr>
              <w:spacing w:after="40"/>
            </w:pPr>
            <w:r>
              <w:rPr>
                <w:sz w:val="18"/>
              </w:rPr>
            </w:r>
            <w:r>
              <w:rPr>
                <w:b w:val="0"/>
                <w:i w:val="0"/>
                <w:sz w:val="18"/>
              </w:rPr>
              <w:t>Medium</w:t>
            </w:r>
          </w:p>
        </w:tc>
      </w:tr>
      <w:tr>
        <w:tc>
          <w:tcPr>
            <w:tcW w:type="dxa" w:w="3636"/>
          </w:tcPr>
          <w:p>
            <w:pPr>
              <w:spacing w:after="40"/>
            </w:pPr>
            <w:r>
              <w:rPr>
                <w:sz w:val="18"/>
              </w:rPr>
            </w:r>
            <w:r>
              <w:rPr>
                <w:b w:val="0"/>
                <w:i w:val="0"/>
                <w:sz w:val="18"/>
              </w:rPr>
              <w:t>Promethazine (Phenergan)</w:t>
            </w:r>
          </w:p>
        </w:tc>
        <w:tc>
          <w:tcPr>
            <w:tcW w:type="dxa" w:w="3636"/>
          </w:tcPr>
          <w:p>
            <w:pPr>
              <w:spacing w:after="40"/>
            </w:pPr>
            <w:r>
              <w:rPr>
                <w:sz w:val="18"/>
              </w:rPr>
            </w:r>
            <w:r>
              <w:rPr>
                <w:b w:val="0"/>
                <w:i w:val="0"/>
                <w:sz w:val="18"/>
              </w:rPr>
              <w:t>High</w:t>
            </w:r>
          </w:p>
        </w:tc>
        <w:tc>
          <w:tcPr>
            <w:tcW w:type="dxa" w:w="3636"/>
          </w:tcPr>
          <w:p>
            <w:pPr>
              <w:spacing w:after="40"/>
            </w:pPr>
            <w:r>
              <w:rPr>
                <w:sz w:val="18"/>
              </w:rPr>
            </w:r>
            <w:r>
              <w:rPr>
                <w:b w:val="0"/>
                <w:i w:val="0"/>
                <w:sz w:val="18"/>
              </w:rPr>
              <w:t>High</w:t>
            </w:r>
          </w:p>
        </w:tc>
        <w:tc>
          <w:tcPr>
            <w:tcW w:type="dxa" w:w="3636"/>
          </w:tcPr>
          <w:p>
            <w:pPr>
              <w:spacing w:after="40"/>
            </w:pPr>
            <w:r>
              <w:rPr>
                <w:sz w:val="18"/>
              </w:rPr>
            </w:r>
            <w:r>
              <w:rPr>
                <w:b w:val="0"/>
                <w:i w:val="0"/>
                <w:sz w:val="18"/>
              </w:rPr>
              <w:t>High</w:t>
            </w:r>
          </w:p>
        </w:tc>
      </w:tr>
      <w:tr>
        <w:tc>
          <w:tcPr>
            <w:tcW w:type="dxa" w:w="14544"/>
            <w:gridSpan w:val="4"/>
          </w:tcPr>
          <w:p>
            <w:pPr>
              <w:spacing w:after="40"/>
            </w:pPr>
            <w:r/>
          </w:p>
        </w:tc>
      </w:tr>
      <w:tr>
        <w:tc>
          <w:tcPr>
            <w:tcW w:type="dxa" w:w="3636"/>
          </w:tcPr>
          <w:p>
            <w:pPr>
              <w:spacing w:after="40"/>
            </w:pPr>
            <w:r>
              <w:rPr>
                <w:sz w:val="18"/>
              </w:rPr>
            </w:r>
            <w:r>
              <w:rPr>
                <w:b w:val="0"/>
                <w:i w:val="0"/>
                <w:sz w:val="18"/>
              </w:rPr>
              <w:t>Cetirizine (Zyrtec)</w:t>
            </w:r>
          </w:p>
        </w:tc>
        <w:tc>
          <w:tcPr>
            <w:tcW w:type="dxa" w:w="3636"/>
          </w:tcPr>
          <w:p>
            <w:pPr>
              <w:spacing w:after="40"/>
            </w:pPr>
            <w:r>
              <w:rPr>
                <w:sz w:val="18"/>
              </w:rPr>
            </w:r>
            <w:r>
              <w:rPr>
                <w:b w:val="0"/>
                <w:i w:val="0"/>
                <w:sz w:val="18"/>
              </w:rPr>
              <w:t>Low</w:t>
            </w:r>
          </w:p>
        </w:tc>
        <w:tc>
          <w:tcPr>
            <w:tcW w:type="dxa" w:w="3636"/>
          </w:tcPr>
          <w:p>
            <w:pPr>
              <w:spacing w:after="40"/>
            </w:pPr>
            <w:r>
              <w:rPr>
                <w:sz w:val="18"/>
              </w:rPr>
            </w:r>
            <w:r>
              <w:rPr>
                <w:b w:val="0"/>
                <w:i w:val="0"/>
                <w:sz w:val="18"/>
              </w:rPr>
              <w:t>None</w:t>
            </w:r>
          </w:p>
        </w:tc>
        <w:tc>
          <w:tcPr>
            <w:tcW w:type="dxa" w:w="3636"/>
          </w:tcPr>
          <w:p>
            <w:pPr>
              <w:spacing w:after="40"/>
            </w:pPr>
            <w:r>
              <w:rPr>
                <w:sz w:val="18"/>
              </w:rPr>
            </w:r>
            <w:r>
              <w:rPr>
                <w:b w:val="0"/>
                <w:i w:val="0"/>
                <w:sz w:val="18"/>
              </w:rPr>
              <w:t>Very low</w:t>
            </w:r>
          </w:p>
        </w:tc>
      </w:tr>
      <w:tr>
        <w:tc>
          <w:tcPr>
            <w:tcW w:type="dxa" w:w="3636"/>
          </w:tcPr>
          <w:p>
            <w:pPr>
              <w:spacing w:after="40"/>
            </w:pPr>
            <w:r>
              <w:rPr>
                <w:sz w:val="18"/>
              </w:rPr>
            </w:r>
            <w:r>
              <w:rPr>
                <w:b w:val="0"/>
                <w:i w:val="0"/>
                <w:sz w:val="18"/>
              </w:rPr>
              <w:t>Fexofenadine (Allegra)</w:t>
            </w:r>
          </w:p>
        </w:tc>
        <w:tc>
          <w:tcPr>
            <w:tcW w:type="dxa" w:w="3636"/>
          </w:tcPr>
          <w:p>
            <w:pPr>
              <w:spacing w:after="40"/>
            </w:pPr>
            <w:r>
              <w:rPr>
                <w:sz w:val="18"/>
              </w:rPr>
            </w:r>
            <w:r>
              <w:rPr>
                <w:b w:val="0"/>
                <w:i w:val="0"/>
                <w:sz w:val="18"/>
              </w:rPr>
              <w:t>Very low</w:t>
            </w:r>
          </w:p>
        </w:tc>
        <w:tc>
          <w:tcPr>
            <w:tcW w:type="dxa" w:w="3636"/>
          </w:tcPr>
          <w:p>
            <w:pPr>
              <w:spacing w:after="40"/>
            </w:pPr>
            <w:r>
              <w:rPr>
                <w:sz w:val="18"/>
              </w:rPr>
            </w:r>
            <w:r>
              <w:rPr>
                <w:b w:val="0"/>
                <w:i w:val="0"/>
                <w:sz w:val="18"/>
              </w:rPr>
              <w:t>None</w:t>
            </w:r>
          </w:p>
        </w:tc>
        <w:tc>
          <w:tcPr>
            <w:tcW w:type="dxa" w:w="3636"/>
          </w:tcPr>
          <w:p>
            <w:pPr>
              <w:spacing w:after="40"/>
            </w:pPr>
            <w:r>
              <w:rPr>
                <w:sz w:val="18"/>
              </w:rPr>
            </w:r>
            <w:r>
              <w:rPr>
                <w:b w:val="0"/>
                <w:i w:val="0"/>
                <w:sz w:val="18"/>
              </w:rPr>
              <w:t>Very low</w:t>
            </w:r>
          </w:p>
        </w:tc>
      </w:tr>
      <w:tr>
        <w:tc>
          <w:tcPr>
            <w:tcW w:type="dxa" w:w="3636"/>
          </w:tcPr>
          <w:p>
            <w:pPr>
              <w:spacing w:after="40"/>
            </w:pPr>
            <w:r>
              <w:rPr>
                <w:sz w:val="18"/>
              </w:rPr>
            </w:r>
            <w:r>
              <w:rPr>
                <w:b w:val="0"/>
                <w:i w:val="0"/>
                <w:sz w:val="18"/>
              </w:rPr>
              <w:t>Loratadine (Claritin)</w:t>
            </w:r>
          </w:p>
        </w:tc>
        <w:tc>
          <w:tcPr>
            <w:tcW w:type="dxa" w:w="3636"/>
          </w:tcPr>
          <w:p>
            <w:pPr>
              <w:spacing w:after="40"/>
            </w:pPr>
            <w:r>
              <w:rPr>
                <w:sz w:val="18"/>
              </w:rPr>
            </w:r>
            <w:r>
              <w:rPr>
                <w:b w:val="0"/>
                <w:i w:val="0"/>
                <w:sz w:val="18"/>
              </w:rPr>
              <w:t>Very low</w:t>
            </w:r>
          </w:p>
        </w:tc>
        <w:tc>
          <w:tcPr>
            <w:tcW w:type="dxa" w:w="3636"/>
          </w:tcPr>
          <w:p>
            <w:pPr>
              <w:spacing w:after="40"/>
            </w:pPr>
            <w:r>
              <w:rPr>
                <w:sz w:val="18"/>
              </w:rPr>
            </w:r>
            <w:r>
              <w:rPr>
                <w:b w:val="0"/>
                <w:i w:val="0"/>
                <w:sz w:val="18"/>
              </w:rPr>
              <w:t>None</w:t>
            </w:r>
          </w:p>
        </w:tc>
        <w:tc>
          <w:tcPr>
            <w:tcW w:type="dxa" w:w="3636"/>
          </w:tcPr>
          <w:p>
            <w:pPr>
              <w:spacing w:after="40"/>
            </w:pPr>
            <w:r>
              <w:rPr>
                <w:sz w:val="18"/>
              </w:rPr>
            </w:r>
            <w:r>
              <w:rPr>
                <w:b w:val="0"/>
                <w:i w:val="0"/>
                <w:sz w:val="18"/>
              </w:rPr>
              <w:t>Very low</w:t>
            </w:r>
          </w:p>
        </w:tc>
      </w:tr>
      <w:tr>
        <w:tc>
          <w:tcPr>
            <w:tcW w:type="dxa" w:w="14544"/>
            <w:gridSpan w:val="4"/>
          </w:tcPr>
          <w:p>
            <w:pPr>
              <w:spacing w:after="40"/>
            </w:pPr>
            <w:r/>
          </w:p>
        </w:tc>
      </w:tr>
      <w:tr>
        <w:tc>
          <w:tcPr>
            <w:tcW w:type="dxa" w:w="3636"/>
          </w:tcPr>
          <w:p>
            <w:pPr>
              <w:spacing w:after="40"/>
            </w:pPr>
            <w:r>
              <w:rPr>
                <w:sz w:val="18"/>
              </w:rPr>
            </w:r>
            <w:r>
              <w:rPr>
                <w:b w:val="0"/>
                <w:i w:val="0"/>
                <w:sz w:val="18"/>
              </w:rPr>
              <w:t>Azelastine (Astelin)</w:t>
            </w:r>
          </w:p>
        </w:tc>
        <w:tc>
          <w:tcPr>
            <w:tcW w:type="dxa" w:w="3636"/>
          </w:tcPr>
          <w:p>
            <w:pPr>
              <w:spacing w:after="40"/>
            </w:pPr>
            <w:r>
              <w:rPr>
                <w:sz w:val="18"/>
              </w:rPr>
            </w:r>
            <w:r>
              <w:rPr>
                <w:b w:val="0"/>
                <w:i w:val="0"/>
                <w:sz w:val="18"/>
              </w:rPr>
              <w:t>Low</w:t>
            </w:r>
          </w:p>
        </w:tc>
        <w:tc>
          <w:tcPr>
            <w:tcW w:type="dxa" w:w="3636"/>
          </w:tcPr>
          <w:p>
            <w:pPr>
              <w:spacing w:after="40"/>
            </w:pPr>
            <w:r>
              <w:rPr>
                <w:sz w:val="18"/>
              </w:rPr>
            </w:r>
            <w:r>
              <w:rPr>
                <w:b w:val="0"/>
                <w:i w:val="0"/>
                <w:sz w:val="18"/>
              </w:rPr>
              <w:t>None</w:t>
            </w:r>
          </w:p>
        </w:tc>
        <w:tc>
          <w:tcPr>
            <w:tcW w:type="dxa" w:w="3636"/>
          </w:tcPr>
          <w:p>
            <w:pPr>
              <w:spacing w:after="40"/>
            </w:pPr>
            <w:r>
              <w:rPr>
                <w:sz w:val="18"/>
              </w:rPr>
            </w:r>
            <w:r>
              <w:rPr>
                <w:b w:val="0"/>
                <w:i w:val="0"/>
                <w:sz w:val="18"/>
              </w:rPr>
              <w:t>Very low</w:t>
            </w:r>
          </w:p>
        </w:tc>
      </w:tr>
    </w:tbl>
    <w:p>
      <w:pPr>
        <w:spacing w:after="80"/>
      </w:pPr>
    </w:p>
    <w:p>
      <w:pPr>
        <w:spacing w:after="120"/>
      </w:pPr>
      <w:r>
        <w:rPr>
          <w:b w:val="0"/>
          <w:i w:val="0"/>
        </w:rPr>
        <w:t xml:space="preserve">Class adverse effects: </w:t>
      </w:r>
      <w:r>
        <w:rPr>
          <w:b/>
          <w:i w:val="0"/>
        </w:rPr>
        <w:t>sedation</w:t>
      </w:r>
      <w:r>
        <w:rPr>
          <w:b w:val="0"/>
          <w:i w:val="0"/>
        </w:rPr>
        <w:t xml:space="preserve">; gastrointestinal disturbance; the </w:t>
      </w:r>
      <w:r>
        <w:rPr>
          <w:b/>
          <w:i w:val="0"/>
        </w:rPr>
        <w:t>antimuscarinic set — dry mouth, urinary retention, blurred vision</w:t>
      </w:r>
      <w:r>
        <w:rPr>
          <w:b w:val="0"/>
          <w:i w:val="0"/>
        </w:rPr>
        <w:t xml:space="preserve">; and, with topical use, hypersensitivity (dermatitis, photosensitivity). </w:t>
      </w:r>
      <w:r>
        <w:rPr>
          <w:b/>
          <w:i w:val="0"/>
        </w:rPr>
        <w:t>Azelastine (Astelin)</w:t>
      </w:r>
      <w:r>
        <w:rPr>
          <w:b w:val="0"/>
          <w:i w:val="0"/>
        </w:rPr>
        <w:t xml:space="preserve"> is the H1 antagonist given as a nasal spray, for </w:t>
      </w:r>
      <w:r>
        <w:rPr>
          <w:b/>
          <w:i w:val="0"/>
        </w:rPr>
        <w:t>allergic and vasomotor rhinitis</w:t>
      </w:r>
      <w:r>
        <w:rPr>
          <w:b w:val="0"/>
          <w:i w:val="0"/>
        </w:rPr>
        <w:t xml:space="preserve">; its side effects are a </w:t>
      </w:r>
      <w:r>
        <w:rPr>
          <w:b/>
          <w:i w:val="0"/>
        </w:rPr>
        <w:t>bitter taste</w:t>
      </w:r>
      <w:r>
        <w:rPr>
          <w:b w:val="0"/>
          <w:i w:val="0"/>
        </w:rPr>
        <w:t xml:space="preserve"> and </w:t>
      </w:r>
      <w:r>
        <w:rPr>
          <w:b/>
          <w:i w:val="0"/>
        </w:rPr>
        <w:t>epistaxis</w:t>
      </w:r>
      <w:r>
        <w:rPr>
          <w:b w:val="0"/>
          <w:i w:val="0"/>
        </w:rPr>
        <w:t>.</w:t>
      </w:r>
    </w:p>
    <w:p>
      <w:pPr>
        <w:spacing w:after="120"/>
      </w:pPr>
      <w:r>
        <w:rPr>
          <w:b w:val="0"/>
          <w:i w:val="0"/>
        </w:rPr>
        <w:t>Also tested</w:t>
      </w:r>
    </w:p>
    <w:p>
      <w:pPr>
        <w:pStyle w:val="ListBullet"/>
        <w:spacing w:after="40"/>
      </w:pPr>
      <w:r>
        <w:rPr>
          <w:b/>
          <w:i w:val="0"/>
          <w:sz w:val="20"/>
        </w:rPr>
        <w:t>Histamine H2 receptors in the heart.</w:t>
      </w:r>
      <w:r>
        <w:rPr>
          <w:b w:val="0"/>
          <w:i w:val="0"/>
          <w:sz w:val="20"/>
        </w:rPr>
        <w:t xml:space="preserve"> Through H2 receptors, histamine increases cardiac contractility.</w:t>
      </w:r>
    </w:p>
    <w:p>
      <w:pPr>
        <w:pStyle w:val="ListBullet"/>
        <w:spacing w:after="40"/>
      </w:pPr>
      <w:r>
        <w:rPr>
          <w:b/>
          <w:i w:val="0"/>
          <w:sz w:val="20"/>
        </w:rPr>
        <w:t>Indications for H1 antagonists.</w:t>
      </w:r>
      <w:r>
        <w:rPr>
          <w:b w:val="0"/>
          <w:i w:val="0"/>
          <w:sz w:val="20"/>
        </w:rPr>
        <w:t xml:space="preserve"> These are allergic reactions, motion sickness and vestibular symptoms, sleep remedies, and an adjuvant role in anaphylaxis; bacterial sinusitis is not among them.</w:t>
      </w:r>
    </w:p>
    <w:p>
      <w:pPr>
        <w:pStyle w:val="ListBullet"/>
        <w:spacing w:after="40"/>
      </w:pPr>
      <w:r>
        <w:rPr>
          <w:b/>
          <w:i w:val="0"/>
          <w:sz w:val="20"/>
        </w:rPr>
        <w:t>H1 receptor signaling.</w:t>
      </w:r>
      <w:r>
        <w:rPr>
          <w:b w:val="0"/>
          <w:i w:val="0"/>
          <w:sz w:val="20"/>
        </w:rPr>
        <w:t xml:space="preserve"> H1 receptors raise intracellular calcium through phospholipase C, producing IP3 and DAG, whereas H2 receptors work through adenylate cyclase and cyclic AMP.</w:t>
      </w:r>
    </w:p>
    <w:p>
      <w:pPr>
        <w:pStyle w:val="ListBullet"/>
        <w:spacing w:after="40"/>
      </w:pPr>
      <w:r>
        <w:rPr>
          <w:b/>
          <w:i w:val="0"/>
          <w:sz w:val="20"/>
        </w:rPr>
        <w:t>First generation antihistamines.</w:t>
      </w:r>
      <w:r>
        <w:rPr>
          <w:b w:val="0"/>
          <w:i w:val="0"/>
          <w:sz w:val="20"/>
        </w:rPr>
        <w:t xml:space="preserve"> Beyond histamine receptors they act on muscarinic and serotonergic systems, which gives uses and side effects unrelated to allergy, including antiemetic action.</w:t>
      </w:r>
    </w:p>
    <w:p>
      <w:pPr>
        <w:pStyle w:val="ListBullet"/>
        <w:spacing w:after="40"/>
      </w:pPr>
      <w:r>
        <w:rPr>
          <w:b/>
          <w:i w:val="0"/>
          <w:sz w:val="20"/>
        </w:rPr>
        <w:t>Paradoxical excitation.</w:t>
      </w:r>
      <w:r>
        <w:rPr>
          <w:b w:val="0"/>
          <w:i w:val="0"/>
          <w:sz w:val="20"/>
        </w:rPr>
        <w:t xml:space="preserve"> First generation antihistamines can cause excitation rather than sleepiness at higher exposure, particularly in children, so an agitated child may have had more of the drug rather than less.</w:t>
      </w:r>
    </w:p>
    <w:p>
      <w:pPr>
        <w:pStyle w:val="ListBullet"/>
        <w:spacing w:after="40"/>
      </w:pPr>
      <w:r>
        <w:rPr>
          <w:b/>
          <w:i w:val="0"/>
          <w:sz w:val="20"/>
        </w:rPr>
        <w:t>Azelastine nasal spray.</w:t>
      </w:r>
      <w:r>
        <w:rPr>
          <w:b w:val="0"/>
          <w:i w:val="0"/>
          <w:sz w:val="20"/>
        </w:rPr>
        <w:t xml:space="preserve"> Side effects are a bitter taste and nosebleed; the bitter taste comes from spray running back into the throat and is a common reason patients stop it.</w:t>
      </w:r>
    </w:p>
    <w:p>
      <w:pPr>
        <w:pStyle w:val="ListBullet"/>
        <w:spacing w:after="40"/>
      </w:pPr>
      <w:r>
        <w:rPr>
          <w:b/>
          <w:i w:val="0"/>
          <w:sz w:val="20"/>
        </w:rPr>
        <w:t>H1 versus H2 vasodilation.</w:t>
      </w:r>
      <w:r>
        <w:rPr>
          <w:b w:val="0"/>
          <w:i w:val="0"/>
          <w:sz w:val="20"/>
        </w:rPr>
        <w:t xml:space="preserve"> Both cause vasodilation, but H1 is rapid in onset and short-lived while H2 is slow in onset and long-lasting, so blocking H1 alone does not abolish the flush.</w:t>
      </w:r>
    </w:p>
    <w:p>
      <w:pPr>
        <w:pStyle w:val="ListBullet"/>
        <w:spacing w:after="40"/>
      </w:pPr>
      <w:r>
        <w:rPr>
          <w:b/>
          <w:i w:val="0"/>
          <w:sz w:val="20"/>
        </w:rPr>
        <w:t>The flare.</w:t>
      </w:r>
      <w:r>
        <w:rPr>
          <w:b w:val="0"/>
          <w:i w:val="0"/>
          <w:sz w:val="20"/>
        </w:rPr>
        <w:t xml:space="preserve"> The redness spreading around the original insult comes from a reflex through axons causing vasodilation, a nerve reflex rather than direct spread of histamine.</w:t>
      </w:r>
    </w:p>
    <w:p>
      <w:pPr>
        <w:pStyle w:val="ListBullet"/>
        <w:spacing w:after="40"/>
      </w:pPr>
      <w:r>
        <w:rPr>
          <w:b/>
          <w:i w:val="0"/>
          <w:sz w:val="20"/>
        </w:rPr>
        <w:t>H1 receptor effects on airways.</w:t>
      </w:r>
      <w:r>
        <w:rPr>
          <w:b w:val="0"/>
          <w:i w:val="0"/>
          <w:sz w:val="20"/>
        </w:rPr>
        <w:t xml:space="preserve"> H1 receptors raise smooth muscle tone and cause bronchoconstriction, so histamine itself is a bronchoconstrictor and H1 antagonists relax airway and gut smooth muscle.</w:t>
      </w:r>
    </w:p>
    <w:p>
      <w:pPr>
        <w:pStyle w:val="ListBullet"/>
        <w:spacing w:after="40"/>
      </w:pPr>
      <w:r>
        <w:rPr>
          <w:b/>
          <w:i w:val="0"/>
          <w:sz w:val="20"/>
        </w:rPr>
        <w:t>H2 receptor effect.</w:t>
      </w:r>
      <w:r>
        <w:rPr>
          <w:b w:val="0"/>
          <w:i w:val="0"/>
          <w:sz w:val="20"/>
        </w:rPr>
        <w:t xml:space="preserve"> Increased gastric acid secretion belongs to H2 rather than H1 receptors, which is why H2 blockers are stomach drugs while H1 blockers are allergy drugs.</w:t>
      </w:r>
    </w:p>
    <w:p>
      <w:pPr>
        <w:pStyle w:val="ListBullet"/>
        <w:spacing w:after="40"/>
      </w:pPr>
      <w:r>
        <w:rPr>
          <w:b/>
          <w:i w:val="0"/>
          <w:sz w:val="20"/>
        </w:rPr>
        <w:t>Topical antihistamine adverse effects.</w:t>
      </w:r>
      <w:r>
        <w:rPr>
          <w:b w:val="0"/>
          <w:i w:val="0"/>
          <w:sz w:val="20"/>
        </w:rPr>
        <w:t xml:space="preserve"> Topical use is specifically associated with dermatitis and photosensitivity of the skin.</w:t>
      </w:r>
    </w:p>
    <w:p>
      <w:pPr>
        <w:pStyle w:val="ListBullet"/>
        <w:spacing w:after="40"/>
      </w:pPr>
      <w:r>
        <w:rPr>
          <w:b/>
          <w:i w:val="0"/>
          <w:sz w:val="20"/>
        </w:rPr>
        <w:t>Antihistamine drying of secretions.</w:t>
      </w:r>
      <w:r>
        <w:rPr>
          <w:b w:val="0"/>
          <w:i w:val="0"/>
          <w:sz w:val="20"/>
        </w:rPr>
        <w:t xml:space="preserve"> Antihistamines reduce nasal and bronchial secretions during an allergic reaction through their antimuscarinic action; the drying is a muscarinic effect rather than a histamine one, so second generation agents dry you out less.</w:t>
      </w:r>
    </w:p>
    <w:p>
      <w:pPr>
        <w:pStyle w:val="ListBullet"/>
        <w:spacing w:after="40"/>
      </w:pPr>
      <w:r>
        <w:rPr>
          <w:b/>
          <w:i w:val="0"/>
          <w:sz w:val="20"/>
        </w:rPr>
        <w:t>Second-generation antihistamines and sedation.</w:t>
      </w:r>
      <w:r>
        <w:rPr>
          <w:b w:val="0"/>
          <w:i w:val="0"/>
          <w:sz w:val="20"/>
        </w:rPr>
        <w:t xml:space="preserve"> Second-generation histamine-1 (H1) blockers largely stay out of the central nervous system, so they cause much less sedation.</w:t>
      </w:r>
    </w:p>
    <w:p>
      <w:pPr>
        <w:pStyle w:val="ListBullet"/>
        <w:spacing w:after="40"/>
      </w:pPr>
      <w:r>
        <w:rPr>
          <w:b/>
          <w:i w:val="0"/>
          <w:sz w:val="20"/>
        </w:rPr>
        <w:t>Oral second-generation antihistamines and sedation.</w:t>
      </w:r>
      <w:r>
        <w:rPr>
          <w:b w:val="0"/>
          <w:i w:val="0"/>
          <w:sz w:val="20"/>
        </w:rPr>
        <w:t xml:space="preserve"> Cetirizine is rated low for sedation, while the other oral second-generation agents, fexofenadine and loratadine, are rated very low.</w:t>
      </w:r>
    </w:p>
    <w:p>
      <w:pPr>
        <w:pStyle w:val="Heading2"/>
        <w:spacing w:before="200" w:after="100"/>
      </w:pPr>
      <w:r>
        <w:rPr>
          <w:rFonts w:ascii="Georgia" w:hAnsi="Georgia"/>
          <w:color w:val="6B3524"/>
        </w:rPr>
        <w:t>2.7 · Objectives 1–8 — Corticosteroids</w:t>
      </w:r>
    </w:p>
    <w:p>
      <w:pPr>
        <w:spacing w:after="120"/>
      </w:pPr>
      <w:r>
        <w:rPr>
          <w:b w:val="0"/>
          <w:i w:val="0"/>
        </w:rPr>
        <w:t xml:space="preserve">Slide 41 shows what a glucocorticoid does, cell by cell. On </w:t>
      </w:r>
      <w:r>
        <w:rPr>
          <w:b/>
          <w:i w:val="0"/>
        </w:rPr>
        <w:t>inflammatory cells</w:t>
      </w:r>
      <w:r>
        <w:rPr>
          <w:b w:val="0"/>
          <w:i w:val="0"/>
        </w:rPr>
        <w:t xml:space="preserve"> it reduces numbers of eosinophils (by apoptosis), mast cells and dendritic cells, and cuts cytokines from T lymphocytes and macrophages. On </w:t>
      </w:r>
      <w:r>
        <w:rPr>
          <w:b/>
          <w:i w:val="0"/>
        </w:rPr>
        <w:t>structural cells</w:t>
      </w:r>
      <w:r>
        <w:rPr>
          <w:b w:val="0"/>
          <w:i w:val="0"/>
        </w:rPr>
        <w:t xml:space="preserve"> it reduces cytokine mediators from epithelium, reduces endothelial leak, reduces mucus secretion, and on smooth muscle </w:t>
      </w:r>
      <w:r>
        <w:rPr>
          <w:b/>
          <w:i w:val="0"/>
        </w:rPr>
        <w:t>increases beta-2 receptors</w:t>
      </w:r>
      <w:r>
        <w:rPr>
          <w:b w:val="0"/>
          <w:i w:val="0"/>
        </w:rPr>
        <w:t xml:space="preserve"> while reducing cytokines. The molecular step beneath all of it: the steroid binds its receptor, the complex enters the nucleus and </w:t>
      </w:r>
      <w:r>
        <w:rPr>
          <w:b/>
          <w:i w:val="0"/>
        </w:rPr>
        <w:t>blocks the inflammatory transcription factor NF-kappa-B, so cytokine synthesis is inhibited</w:t>
      </w:r>
      <w:r>
        <w:rPr>
          <w:b w:val="0"/>
          <w:i w:val="0"/>
        </w:rPr>
        <w:t>.</w:t>
      </w:r>
    </w:p>
    <w:p>
      <w:pPr>
        <w:spacing w:after="120"/>
      </w:pPr>
      <w:r>
        <w:rPr>
          <w:b/>
          <w:i w:val="0"/>
        </w:rPr>
        <w:t>Nasal corticosteroids</w:t>
      </w:r>
      <w:r>
        <w:rPr>
          <w:b w:val="0"/>
          <w:i w:val="0"/>
        </w:rPr>
        <w:t xml:space="preserve"> — beclomethasone (Beconase AQ), budesonide (Rhinocort, over the counter), flunisolide (Nasalide), </w:t>
      </w:r>
      <w:r>
        <w:rPr>
          <w:b/>
          <w:i w:val="0"/>
        </w:rPr>
        <w:t>fluticasone (Flonase, over the counter — not Flovent)</w:t>
      </w:r>
      <w:r>
        <w:rPr>
          <w:b w:val="0"/>
          <w:i w:val="0"/>
        </w:rPr>
        <w:t xml:space="preserve">, mometasone (Nasonex), triamcinolone (Nasacort). Many have inhaled versions for asthma, so do not mix up the names. Indications: </w:t>
      </w:r>
      <w:r>
        <w:rPr>
          <w:b/>
          <w:i w:val="0"/>
        </w:rPr>
        <w:t>allergic and vasomotor rhinitis</w:t>
      </w:r>
      <w:r>
        <w:rPr>
          <w:b w:val="0"/>
          <w:i w:val="0"/>
        </w:rPr>
        <w:t xml:space="preserve">. Side effects are local: </w:t>
      </w:r>
      <w:r>
        <w:rPr>
          <w:b/>
          <w:i w:val="0"/>
        </w:rPr>
        <w:t>epistaxis, septal perforation, unpleasant taste</w:t>
      </w:r>
      <w:r>
        <w:rPr>
          <w:b w:val="0"/>
          <w:i w:val="0"/>
        </w:rPr>
        <w:t>. No interactions are listed.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B3524"/>
          </w:tcPr>
          <w:p>
            <w:pPr>
              <w:spacing w:after="40"/>
            </w:pPr>
            <w:r>
              <w:rPr>
                <w:b/>
                <w:color w:val="FFFFFF"/>
                <w:sz w:val="18"/>
              </w:rPr>
            </w:r>
          </w:p>
        </w:tc>
        <w:tc>
          <w:tcPr>
            <w:tcW w:type="dxa" w:w="4848"/>
            <w:shd w:val="clear" w:color="auto" w:fill="6B3524"/>
          </w:tcPr>
          <w:p>
            <w:pPr>
              <w:spacing w:after="40"/>
            </w:pPr>
            <w:r>
              <w:rPr>
                <w:b/>
                <w:color w:val="FFFFFF"/>
                <w:sz w:val="18"/>
              </w:rPr>
            </w:r>
            <w:r>
              <w:rPr>
                <w:b/>
                <w:i w:val="0"/>
                <w:color w:val="FFFFFF"/>
                <w:sz w:val="18"/>
              </w:rPr>
              <w:t>Dexamethasone (Decadron)</w:t>
            </w:r>
          </w:p>
        </w:tc>
        <w:tc>
          <w:tcPr>
            <w:tcW w:type="dxa" w:w="4848"/>
            <w:shd w:val="clear" w:color="auto" w:fill="6B3524"/>
          </w:tcPr>
          <w:p>
            <w:pPr>
              <w:spacing w:after="40"/>
            </w:pPr>
            <w:r>
              <w:rPr>
                <w:b/>
                <w:color w:val="FFFFFF"/>
                <w:sz w:val="18"/>
              </w:rPr>
            </w:r>
            <w:r>
              <w:rPr>
                <w:b/>
                <w:i w:val="0"/>
                <w:color w:val="FFFFFF"/>
                <w:sz w:val="18"/>
              </w:rPr>
              <w:t>Prednisone (Deltasone) / prednisolone (Orapred, the liquid)</w:t>
            </w:r>
          </w:p>
        </w:tc>
      </w:tr>
      <w:tr>
        <w:tc>
          <w:tcPr>
            <w:tcW w:type="dxa" w:w="4848"/>
          </w:tcPr>
          <w:p>
            <w:pPr>
              <w:spacing w:after="40"/>
            </w:pPr>
            <w:r>
              <w:rPr>
                <w:sz w:val="18"/>
              </w:rPr>
            </w:r>
            <w:r>
              <w:rPr>
                <w:b w:val="0"/>
                <w:i w:val="0"/>
                <w:sz w:val="18"/>
              </w:rPr>
              <w:t>Class</w:t>
            </w:r>
          </w:p>
        </w:tc>
        <w:tc>
          <w:tcPr>
            <w:tcW w:type="dxa" w:w="4848"/>
          </w:tcPr>
          <w:p>
            <w:pPr>
              <w:spacing w:after="40"/>
            </w:pPr>
            <w:r>
              <w:rPr>
                <w:sz w:val="18"/>
              </w:rPr>
            </w:r>
            <w:r>
              <w:rPr>
                <w:b w:val="0"/>
                <w:i w:val="0"/>
                <w:sz w:val="18"/>
              </w:rPr>
              <w:t>Synthetic adrenocortical steroid</w:t>
            </w:r>
          </w:p>
        </w:tc>
        <w:tc>
          <w:tcPr>
            <w:tcW w:type="dxa" w:w="4848"/>
          </w:tcPr>
          <w:p>
            <w:pPr>
              <w:spacing w:after="40"/>
            </w:pPr>
            <w:r>
              <w:rPr>
                <w:sz w:val="18"/>
              </w:rPr>
            </w:r>
            <w:r>
              <w:rPr>
                <w:b w:val="0"/>
                <w:i w:val="0"/>
                <w:sz w:val="18"/>
              </w:rPr>
              <w:t>Glucocorticoid</w:t>
            </w:r>
          </w:p>
        </w:tc>
      </w:tr>
      <w:tr>
        <w:tc>
          <w:tcPr>
            <w:tcW w:type="dxa" w:w="4848"/>
          </w:tcPr>
          <w:p>
            <w:pPr>
              <w:spacing w:after="40"/>
            </w:pPr>
            <w:r>
              <w:rPr>
                <w:sz w:val="18"/>
              </w:rPr>
            </w:r>
            <w:r>
              <w:rPr>
                <w:b w:val="0"/>
                <w:i w:val="0"/>
                <w:sz w:val="18"/>
              </w:rPr>
              <w:t>Indications</w:t>
            </w:r>
          </w:p>
        </w:tc>
        <w:tc>
          <w:tcPr>
            <w:tcW w:type="dxa" w:w="4848"/>
          </w:tcPr>
          <w:p>
            <w:pPr>
              <w:spacing w:after="40"/>
            </w:pPr>
            <w:r>
              <w:rPr>
                <w:sz w:val="18"/>
              </w:rPr>
            </w:r>
            <w:r>
              <w:rPr>
                <w:b w:val="0"/>
                <w:i w:val="0"/>
                <w:sz w:val="18"/>
              </w:rPr>
              <w:t>Allergic rhinitis, drug hypersensitivity reactions</w:t>
            </w:r>
          </w:p>
        </w:tc>
        <w:tc>
          <w:tcPr>
            <w:tcW w:type="dxa" w:w="4848"/>
          </w:tcPr>
          <w:p>
            <w:pPr>
              <w:spacing w:after="40"/>
            </w:pPr>
            <w:r>
              <w:rPr>
                <w:sz w:val="18"/>
              </w:rPr>
            </w:r>
            <w:r>
              <w:rPr>
                <w:b w:val="0"/>
                <w:i w:val="0"/>
                <w:sz w:val="18"/>
              </w:rPr>
              <w:t>Allergic rhinitis, allergic conjunctivitis, drug hypersensitivity reactions</w:t>
            </w:r>
          </w:p>
        </w:tc>
      </w:tr>
      <w:tr>
        <w:tc>
          <w:tcPr>
            <w:tcW w:type="dxa" w:w="4848"/>
          </w:tcPr>
          <w:p>
            <w:pPr>
              <w:spacing w:after="40"/>
            </w:pPr>
            <w:r>
              <w:rPr>
                <w:sz w:val="18"/>
              </w:rPr>
            </w:r>
            <w:r>
              <w:rPr>
                <w:b w:val="0"/>
                <w:i w:val="0"/>
                <w:sz w:val="18"/>
              </w:rPr>
              <w:t>Side effects</w:t>
            </w:r>
          </w:p>
        </w:tc>
        <w:tc>
          <w:tcPr>
            <w:tcW w:type="dxa" w:w="9696"/>
            <w:gridSpan w:val="2"/>
          </w:tcPr>
          <w:p>
            <w:pPr>
              <w:spacing w:after="40"/>
            </w:pPr>
            <w:r/>
          </w:p>
        </w:tc>
      </w:tr>
      <w:tr>
        <w:tc>
          <w:tcPr>
            <w:tcW w:type="dxa" w:w="4848"/>
          </w:tcPr>
          <w:p>
            <w:pPr>
              <w:spacing w:after="40"/>
            </w:pPr>
            <w:r>
              <w:rPr>
                <w:sz w:val="18"/>
              </w:rPr>
            </w:r>
            <w:r>
              <w:rPr>
                <w:b w:val="0"/>
                <w:i w:val="0"/>
                <w:sz w:val="18"/>
              </w:rPr>
              <w:t>Contraindications</w:t>
            </w:r>
          </w:p>
        </w:tc>
        <w:tc>
          <w:tcPr>
            <w:tcW w:type="dxa" w:w="4848"/>
          </w:tcPr>
          <w:p>
            <w:pPr>
              <w:spacing w:after="40"/>
            </w:pPr>
            <w:r>
              <w:rPr>
                <w:sz w:val="18"/>
              </w:rPr>
            </w:r>
            <w:r>
              <w:rPr>
                <w:b/>
                <w:i w:val="0"/>
                <w:sz w:val="18"/>
              </w:rPr>
              <w:t>Systemic fungal infections</w:t>
            </w:r>
          </w:p>
        </w:tc>
        <w:tc>
          <w:tcPr>
            <w:tcW w:type="dxa" w:w="4848"/>
          </w:tcPr>
          <w:p>
            <w:pPr>
              <w:spacing w:after="40"/>
            </w:pPr>
            <w:r>
              <w:rPr>
                <w:sz w:val="18"/>
              </w:rPr>
            </w:r>
            <w:r>
              <w:rPr>
                <w:b w:val="0"/>
                <w:i w:val="0"/>
                <w:sz w:val="18"/>
              </w:rPr>
              <w:t xml:space="preserve">Allergy; </w:t>
            </w:r>
            <w:r>
              <w:rPr>
                <w:b/>
                <w:i w:val="0"/>
                <w:sz w:val="18"/>
              </w:rPr>
              <w:t>infections, especially fungal</w:t>
            </w:r>
          </w:p>
        </w:tc>
      </w:tr>
    </w:tbl>
    <w:p>
      <w:pPr>
        <w:spacing w:after="80"/>
      </w:pPr>
    </w:p>
    <w:p>
      <w:pPr>
        <w:spacing w:after="120"/>
      </w:pPr>
      <w:r>
        <w:rPr>
          <w:b w:val="0"/>
          <w:i w:val="0"/>
        </w:rPr>
        <w:t xml:space="preserve">Dexamethasone interactions all run through potassium, glucose or clearance: with a </w:t>
      </w:r>
      <w:r>
        <w:rPr>
          <w:b/>
          <w:i w:val="0"/>
        </w:rPr>
        <w:t>diuretic</w:t>
      </w:r>
      <w:r>
        <w:rPr>
          <w:b w:val="0"/>
          <w:i w:val="0"/>
        </w:rPr>
        <w:t xml:space="preserve">, hypokalemia; with </w:t>
      </w:r>
      <w:r>
        <w:rPr>
          <w:b/>
          <w:i w:val="0"/>
        </w:rPr>
        <w:t>digoxin</w:t>
      </w:r>
      <w:r>
        <w:rPr>
          <w:b w:val="0"/>
          <w:i w:val="0"/>
        </w:rPr>
        <w:t xml:space="preserve">, a higher risk of arrhythmia </w:t>
      </w:r>
      <w:r>
        <w:rPr>
          <w:b w:val="0"/>
          <w:i/>
        </w:rPr>
        <w:t>because</w:t>
      </w:r>
      <w:r>
        <w:rPr>
          <w:b w:val="0"/>
          <w:i w:val="0"/>
        </w:rPr>
        <w:t xml:space="preserve"> of that hypokalemia; </w:t>
      </w:r>
      <w:r>
        <w:rPr>
          <w:b/>
          <w:i w:val="0"/>
        </w:rPr>
        <w:t>macrolides decrease its clearance</w:t>
      </w:r>
      <w:r>
        <w:rPr>
          <w:b w:val="0"/>
          <w:i w:val="0"/>
        </w:rPr>
        <w:t xml:space="preserve">; and it </w:t>
      </w:r>
      <w:r>
        <w:rPr>
          <w:b/>
          <w:i w:val="0"/>
        </w:rPr>
        <w:t>decreases the effect of antidiabetic drugs</w:t>
      </w:r>
      <w:r>
        <w:rPr>
          <w:b w:val="0"/>
          <w:i w:val="0"/>
        </w:rPr>
        <w:t>.</w:t>
      </w:r>
    </w:p>
    <w:p>
      <w:pPr>
        <w:spacing w:after="120"/>
      </w:pPr>
      <w:r>
        <w:rPr>
          <w:b w:val="0"/>
          <w:i w:val="0"/>
        </w:rPr>
        <w:t>Also tested</w:t>
      </w:r>
    </w:p>
    <w:p>
      <w:pPr>
        <w:pStyle w:val="ListBullet"/>
        <w:spacing w:after="40"/>
      </w:pPr>
      <w:r>
        <w:rPr>
          <w:b/>
          <w:i w:val="0"/>
          <w:sz w:val="20"/>
        </w:rPr>
        <w:t>Prednisone in diabetes.</w:t>
      </w:r>
      <w:r>
        <w:rPr>
          <w:b w:val="0"/>
          <w:i w:val="0"/>
          <w:sz w:val="20"/>
        </w:rPr>
        <w:t xml:space="preserve"> Glucose control will worsen: the steroid raises glucose and blunts the drugs used to lower it, so antidiabetic medicines work less well.</w:t>
      </w:r>
    </w:p>
    <w:p>
      <w:pPr>
        <w:pStyle w:val="ListBullet"/>
        <w:spacing w:after="40"/>
      </w:pPr>
      <w:r>
        <w:rPr>
          <w:b/>
          <w:i w:val="0"/>
          <w:sz w:val="20"/>
        </w:rPr>
        <w:t>Stopping corticosteroids.</w:t>
      </w:r>
      <w:r>
        <w:rPr>
          <w:b w:val="0"/>
          <w:i w:val="0"/>
          <w:sz w:val="20"/>
        </w:rPr>
        <w:t xml:space="preserve"> After more than about a week of use, do not stop abruptly, because stopping suddenly produces rebound symptoms; a short course and a long one are stopped differently.</w:t>
      </w:r>
    </w:p>
    <w:p>
      <w:pPr>
        <w:pStyle w:val="ListBullet"/>
        <w:spacing w:after="40"/>
      </w:pPr>
      <w:r>
        <w:rPr>
          <w:b/>
          <w:i w:val="0"/>
          <w:sz w:val="20"/>
        </w:rPr>
        <w:t>Nasal corticosteroid side effects.</w:t>
      </w:r>
      <w:r>
        <w:rPr>
          <w:b w:val="0"/>
          <w:i w:val="0"/>
          <w:sz w:val="20"/>
        </w:rPr>
        <w:t xml:space="preserve"> They cause nosebleed, perforation and an unpleasant taste; all three are local, unlike a systemic steroid.</w:t>
      </w:r>
    </w:p>
    <w:p>
      <w:pPr>
        <w:pStyle w:val="ListBullet"/>
        <w:spacing w:after="40"/>
      </w:pPr>
      <w:r>
        <w:rPr>
          <w:b/>
          <w:i w:val="0"/>
          <w:sz w:val="20"/>
        </w:rPr>
        <w:t>Diuretic plus dexamethasone.</w:t>
      </w:r>
      <w:r>
        <w:rPr>
          <w:b w:val="0"/>
          <w:i w:val="0"/>
          <w:sz w:val="20"/>
        </w:rPr>
        <w:t xml:space="preserve"> Monitor potassium, since both drugs lower it; two drugs pushing the same electrolyte the same way can bring a patient to a dangerous level without either drug being at fault alone.</w:t>
      </w:r>
    </w:p>
    <w:p>
      <w:pPr>
        <w:pStyle w:val="ListBullet"/>
        <w:spacing w:after="40"/>
      </w:pPr>
      <w:r>
        <w:rPr>
          <w:b/>
          <w:i w:val="0"/>
          <w:sz w:val="20"/>
        </w:rPr>
        <w:t>Systemic corticosteroid contraindication.</w:t>
      </w:r>
      <w:r>
        <w:rPr>
          <w:b w:val="0"/>
          <w:i w:val="0"/>
          <w:sz w:val="20"/>
        </w:rPr>
        <w:t xml:space="preserve"> Systemic fungal infection is a specific contraindication, because a drug that suppresses immunity makes a disseminated fungal infection worse.</w:t>
      </w:r>
    </w:p>
    <w:p>
      <w:pPr>
        <w:pStyle w:val="ListBullet"/>
        <w:spacing w:after="40"/>
      </w:pPr>
      <w:r>
        <w:rPr>
          <w:b/>
          <w:i w:val="0"/>
          <w:sz w:val="20"/>
        </w:rPr>
        <w:t>Prednisone and prednisolone.</w:t>
      </w:r>
      <w:r>
        <w:rPr>
          <w:b w:val="0"/>
          <w:i w:val="0"/>
          <w:sz w:val="20"/>
        </w:rPr>
        <w:t xml:space="preserve"> Prednisone is converted in the liver to prednisolone, the active glucocorticoid sold as the oral liquid Orapred; prednisone (Deltasone) is the tablet.</w:t>
      </w:r>
    </w:p>
    <w:p>
      <w:pPr>
        <w:pStyle w:val="Heading2"/>
        <w:spacing w:before="200" w:after="100"/>
      </w:pPr>
      <w:r>
        <w:rPr>
          <w:rFonts w:ascii="Georgia" w:hAnsi="Georgia"/>
          <w:color w:val="6B3524"/>
        </w:rPr>
        <w:t>2.8 · Objectives 1–8 — Decongestants</w:t>
      </w:r>
    </w:p>
    <w:p>
      <w:pPr>
        <w:spacing w:after="120"/>
      </w:pPr>
      <w:r>
        <w:rPr>
          <w:b w:val="0"/>
          <w:i w:val="0"/>
        </w:rPr>
        <w:t xml:space="preserve">All three decongestants are </w:t>
      </w:r>
      <w:r>
        <w:rPr>
          <w:b/>
          <w:i w:val="0"/>
        </w:rPr>
        <w:t>alpha agonists that constrict blood vessels in the nasal mucosa</w:t>
      </w:r>
      <w:r>
        <w:rPr>
          <w:b w:val="0"/>
          <w:i w:val="0"/>
        </w:rPr>
        <w:t>. What separates them is the route and the price.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B3524"/>
          </w:tcPr>
          <w:p>
            <w:pPr>
              <w:spacing w:after="40"/>
            </w:pPr>
            <w:r>
              <w:rPr>
                <w:b/>
                <w:color w:val="FFFFFF"/>
                <w:sz w:val="18"/>
              </w:rPr>
            </w:r>
            <w:r>
              <w:rPr>
                <w:b/>
                <w:i w:val="0"/>
                <w:color w:val="FFFFFF"/>
                <w:sz w:val="18"/>
              </w:rPr>
              <w:t>Agent</w:t>
            </w:r>
          </w:p>
        </w:tc>
        <w:tc>
          <w:tcPr>
            <w:tcW w:type="dxa" w:w="4848"/>
            <w:shd w:val="clear" w:color="auto" w:fill="6B3524"/>
          </w:tcPr>
          <w:p>
            <w:pPr>
              <w:spacing w:after="40"/>
            </w:pPr>
            <w:r>
              <w:rPr>
                <w:b/>
                <w:color w:val="FFFFFF"/>
                <w:sz w:val="18"/>
              </w:rPr>
            </w:r>
            <w:r>
              <w:rPr>
                <w:b/>
                <w:i w:val="0"/>
                <w:color w:val="FFFFFF"/>
                <w:sz w:val="18"/>
              </w:rPr>
              <w:t>Route and use</w:t>
            </w:r>
          </w:p>
        </w:tc>
        <w:tc>
          <w:tcPr>
            <w:tcW w:type="dxa" w:w="4848"/>
            <w:shd w:val="clear" w:color="auto" w:fill="6B3524"/>
          </w:tcPr>
          <w:p>
            <w:pPr>
              <w:spacing w:after="40"/>
            </w:pPr>
            <w:r>
              <w:rPr>
                <w:b/>
                <w:color w:val="FFFFFF"/>
                <w:sz w:val="18"/>
              </w:rPr>
            </w:r>
            <w:r>
              <w:rPr>
                <w:b/>
                <w:i w:val="0"/>
                <w:color w:val="FFFFFF"/>
                <w:sz w:val="18"/>
              </w:rPr>
              <w:t>Adverse effects and interactions</w:t>
            </w:r>
          </w:p>
        </w:tc>
      </w:tr>
      <w:tr>
        <w:tc>
          <w:tcPr>
            <w:tcW w:type="dxa" w:w="4848"/>
          </w:tcPr>
          <w:p>
            <w:pPr>
              <w:spacing w:after="40"/>
            </w:pPr>
            <w:r>
              <w:rPr>
                <w:sz w:val="18"/>
              </w:rPr>
            </w:r>
            <w:r>
              <w:rPr>
                <w:b/>
                <w:i w:val="0"/>
                <w:sz w:val="18"/>
              </w:rPr>
              <w:t>Oxymetazoline (Afrin)</w:t>
            </w:r>
          </w:p>
        </w:tc>
        <w:tc>
          <w:tcPr>
            <w:tcW w:type="dxa" w:w="4848"/>
          </w:tcPr>
          <w:p>
            <w:pPr>
              <w:spacing w:after="40"/>
            </w:pPr>
            <w:r>
              <w:rPr>
                <w:sz w:val="18"/>
              </w:rPr>
            </w:r>
            <w:r>
              <w:rPr>
                <w:b w:val="0"/>
                <w:i w:val="0"/>
                <w:sz w:val="18"/>
              </w:rPr>
              <w:t xml:space="preserve">Nasal spray, nasal congestion; </w:t>
            </w:r>
            <w:r>
              <w:rPr>
                <w:b/>
                <w:i w:val="0"/>
                <w:sz w:val="18"/>
              </w:rPr>
              <w:t>3 to 5 days maximum</w:t>
            </w:r>
          </w:p>
        </w:tc>
        <w:tc>
          <w:tcPr>
            <w:tcW w:type="dxa" w:w="4848"/>
          </w:tcPr>
          <w:p>
            <w:pPr>
              <w:spacing w:after="40"/>
            </w:pPr>
            <w:r>
              <w:rPr>
                <w:sz w:val="18"/>
              </w:rPr>
            </w:r>
            <w:r>
              <w:rPr>
                <w:b w:val="0"/>
                <w:i w:val="0"/>
                <w:sz w:val="18"/>
              </w:rPr>
              <w:t xml:space="preserve">Beyond 3 to 5 days, </w:t>
            </w:r>
            <w:r>
              <w:rPr>
                <w:b/>
                <w:i w:val="0"/>
                <w:sz w:val="18"/>
              </w:rPr>
              <w:t>rebound rhinitis (rhinitis medicamentosa)</w:t>
            </w:r>
            <w:r>
              <w:rPr>
                <w:b w:val="0"/>
                <w:i w:val="0"/>
                <w:sz w:val="18"/>
              </w:rPr>
              <w:t xml:space="preserve">; hypertension. Interacts with </w:t>
            </w:r>
            <w:r>
              <w:rPr>
                <w:b/>
                <w:i w:val="0"/>
                <w:sz w:val="18"/>
              </w:rPr>
              <w:t>monoamine oxidase inhibitors and antidepressants</w:t>
            </w:r>
          </w:p>
        </w:tc>
      </w:tr>
      <w:tr>
        <w:tc>
          <w:tcPr>
            <w:tcW w:type="dxa" w:w="4848"/>
          </w:tcPr>
          <w:p>
            <w:pPr>
              <w:spacing w:after="40"/>
            </w:pPr>
            <w:r>
              <w:rPr>
                <w:sz w:val="18"/>
              </w:rPr>
            </w:r>
            <w:r>
              <w:rPr>
                <w:b/>
                <w:i w:val="0"/>
                <w:sz w:val="18"/>
              </w:rPr>
              <w:t>Pseudoephedrine (Sudafed)</w:t>
            </w:r>
          </w:p>
        </w:tc>
        <w:tc>
          <w:tcPr>
            <w:tcW w:type="dxa" w:w="4848"/>
          </w:tcPr>
          <w:p>
            <w:pPr>
              <w:spacing w:after="40"/>
            </w:pPr>
            <w:r>
              <w:rPr>
                <w:sz w:val="18"/>
              </w:rPr>
            </w:r>
            <w:r>
              <w:rPr>
                <w:b w:val="0"/>
                <w:i w:val="0"/>
                <w:sz w:val="18"/>
              </w:rPr>
              <w:t xml:space="preserve">Oral; nasal congestion from a cold, hay fever or allergy; sinus congestion; </w:t>
            </w:r>
            <w:r>
              <w:rPr>
                <w:b/>
                <w:i w:val="0"/>
                <w:sz w:val="18"/>
              </w:rPr>
              <w:t>eustachian tube dysfunction from a viral infection</w:t>
            </w:r>
          </w:p>
        </w:tc>
        <w:tc>
          <w:tcPr>
            <w:tcW w:type="dxa" w:w="4848"/>
          </w:tcPr>
          <w:p>
            <w:pPr>
              <w:spacing w:after="40"/>
            </w:pPr>
            <w:r>
              <w:rPr>
                <w:sz w:val="18"/>
              </w:rPr>
            </w:r>
            <w:r>
              <w:rPr>
                <w:b/>
                <w:i w:val="0"/>
                <w:sz w:val="18"/>
              </w:rPr>
              <w:t>Tachycardia, hypertension, headache</w:t>
            </w:r>
            <w:r>
              <w:rPr>
                <w:b w:val="0"/>
                <w:i w:val="0"/>
                <w:sz w:val="18"/>
              </w:rPr>
              <w:t xml:space="preserve">. </w:t>
            </w:r>
            <w:r>
              <w:rPr>
                <w:b/>
                <w:i w:val="0"/>
                <w:sz w:val="18"/>
              </w:rPr>
              <w:t>Decreases the effect of antihypertensives</w:t>
            </w:r>
          </w:p>
        </w:tc>
      </w:tr>
      <w:tr>
        <w:tc>
          <w:tcPr>
            <w:tcW w:type="dxa" w:w="4848"/>
          </w:tcPr>
          <w:p>
            <w:pPr>
              <w:spacing w:after="40"/>
            </w:pPr>
            <w:r>
              <w:rPr>
                <w:sz w:val="18"/>
              </w:rPr>
            </w:r>
            <w:r>
              <w:rPr>
                <w:b w:val="0"/>
                <w:i w:val="0"/>
                <w:sz w:val="18"/>
              </w:rPr>
              <w:t>Phenylephrine (Sudafed PE)</w:t>
            </w:r>
          </w:p>
        </w:tc>
        <w:tc>
          <w:tcPr>
            <w:tcW w:type="dxa" w:w="4848"/>
          </w:tcPr>
          <w:p>
            <w:pPr>
              <w:spacing w:after="40"/>
            </w:pPr>
            <w:r>
              <w:rPr>
                <w:sz w:val="18"/>
              </w:rPr>
            </w:r>
            <w:r>
              <w:rPr>
                <w:b w:val="0"/>
                <w:i w:val="0"/>
                <w:sz w:val="18"/>
              </w:rPr>
              <w:t xml:space="preserve">Oral; the </w:t>
            </w:r>
            <w:r>
              <w:rPr>
                <w:b/>
                <w:i w:val="0"/>
                <w:sz w:val="18"/>
              </w:rPr>
              <w:t>pseudoephedrine-free</w:t>
            </w:r>
            <w:r>
              <w:rPr>
                <w:b w:val="0"/>
                <w:i w:val="0"/>
                <w:sz w:val="18"/>
              </w:rPr>
              <w:t xml:space="preserve"> nasal decongestant</w:t>
            </w:r>
          </w:p>
        </w:tc>
        <w:tc>
          <w:tcPr>
            <w:tcW w:type="dxa" w:w="4848"/>
          </w:tcPr>
          <w:p>
            <w:pPr>
              <w:spacing w:after="40"/>
            </w:pPr>
            <w:r>
              <w:rPr>
                <w:sz w:val="18"/>
              </w:rPr>
            </w:r>
            <w:r>
              <w:rPr>
                <w:b w:val="0"/>
                <w:i w:val="0"/>
                <w:sz w:val="18"/>
              </w:rPr>
              <w:t>—</w:t>
            </w:r>
          </w:p>
        </w:tc>
      </w:tr>
    </w:tbl>
    <w:p>
      <w:pPr>
        <w:spacing w:after="80"/>
      </w:pPr>
    </w:p>
    <w:p>
      <w:pPr>
        <w:spacing w:after="120"/>
      </w:pPr>
      <w:r>
        <w:rPr>
          <w:b/>
          <w:i w:val="0"/>
        </w:rPr>
        <w:t>Rebound is a theme across Exam 2.</w:t>
      </w:r>
      <w:r>
        <w:rPr>
          <w:b w:val="0"/>
          <w:i w:val="0"/>
        </w:rPr>
        <w:t xml:space="preserve"> The topical nasal decongestant has the same trap as the vasoconstrictor eye drops in section 1: used past its limit, it produces the congestion it was bought to treat, and the patient reaches for the bottle again.</w:t>
      </w:r>
    </w:p>
    <w:p>
      <w:pPr>
        <w:spacing w:after="120"/>
      </w:pPr>
      <w:r>
        <w:rPr>
          <w:b w:val="0"/>
          <w:i w:val="0"/>
        </w:rPr>
        <w:t>Also tested</w:t>
      </w:r>
    </w:p>
    <w:p>
      <w:pPr>
        <w:pStyle w:val="ListBullet"/>
        <w:spacing w:after="40"/>
      </w:pPr>
      <w:r>
        <w:rPr>
          <w:b/>
          <w:i w:val="0"/>
          <w:sz w:val="20"/>
        </w:rPr>
        <w:t>Pseudoephedrine versus oxymetazoline.</w:t>
      </w:r>
      <w:r>
        <w:rPr>
          <w:b w:val="0"/>
          <w:i w:val="0"/>
          <w:sz w:val="20"/>
        </w:rPr>
        <w:t xml:space="preserve"> Pseudoephedrine has the same alpha agonist mechanism as oxymetazoline but is taken orally.</w:t>
      </w:r>
    </w:p>
    <w:p>
      <w:pPr>
        <w:pStyle w:val="ListBullet"/>
        <w:spacing w:after="40"/>
      </w:pPr>
      <w:r>
        <w:rPr>
          <w:b/>
          <w:i w:val="0"/>
          <w:sz w:val="20"/>
        </w:rPr>
        <w:t>Oxymetazoline systemic effect.</w:t>
      </w:r>
      <w:r>
        <w:rPr>
          <w:b w:val="0"/>
          <w:i w:val="0"/>
          <w:sz w:val="20"/>
        </w:rPr>
        <w:t xml:space="preserve"> Besides rebound congestion, oxymetazoline can raise blood pressure, since a drug sprayed into the nose still reaches the circulation.</w:t>
      </w:r>
    </w:p>
    <w:p>
      <w:pPr>
        <w:pStyle w:val="ListBullet"/>
        <w:spacing w:after="40"/>
      </w:pPr>
      <w:r>
        <w:rPr>
          <w:b/>
          <w:i w:val="0"/>
          <w:sz w:val="20"/>
        </w:rPr>
        <w:t>Pseudoephedrine and antihypertensives.</w:t>
      </w:r>
      <w:r>
        <w:rPr>
          <w:b w:val="0"/>
          <w:i w:val="0"/>
          <w:sz w:val="20"/>
        </w:rPr>
        <w:t xml:space="preserve"> Pseudoephedrine reduces the effect of antihypertensive medicines, so a patient can undo blood pressure treatment with an over-the-counter product.</w:t>
      </w:r>
    </w:p>
    <w:p>
      <w:pPr>
        <w:pStyle w:val="ListBullet"/>
        <w:spacing w:after="40"/>
      </w:pPr>
      <w:r>
        <w:rPr>
          <w:b/>
          <w:i w:val="0"/>
          <w:sz w:val="20"/>
        </w:rPr>
        <w:t>Pseudoephedrine adverse effects.</w:t>
      </w:r>
      <w:r>
        <w:rPr>
          <w:b w:val="0"/>
          <w:i w:val="0"/>
          <w:sz w:val="20"/>
        </w:rPr>
        <w:t xml:space="preserve"> These are fast heart rate, raised blood pressure and headache, all following from stimulating alpha receptors throughout the body rather than only in the nose.</w:t>
      </w:r>
    </w:p>
    <w:p>
      <w:pPr>
        <w:pStyle w:val="ListBullet"/>
        <w:spacing w:after="40"/>
      </w:pPr>
      <w:r>
        <w:rPr>
          <w:b/>
          <w:i w:val="0"/>
          <w:sz w:val="20"/>
        </w:rPr>
        <w:t>Topical nasal decongestant.</w:t>
      </w:r>
      <w:r>
        <w:rPr>
          <w:b w:val="0"/>
          <w:i w:val="0"/>
          <w:sz w:val="20"/>
        </w:rPr>
        <w:t xml:space="preserve"> Patients are told not to use it beyond a few days; exceeding that produces rebound congestion.</w:t>
      </w:r>
    </w:p>
    <w:p>
      <w:pPr>
        <w:pStyle w:val="Heading2"/>
        <w:spacing w:before="200" w:after="100"/>
      </w:pPr>
      <w:r>
        <w:rPr>
          <w:rFonts w:ascii="Georgia" w:hAnsi="Georgia"/>
          <w:color w:val="6B3524"/>
        </w:rPr>
        <w:t>2.9 · Objectives 1–7 — Cough: antitussives, expectorants and mucolytics</w:t>
      </w:r>
    </w:p>
    <w:p>
      <w:pPr>
        <w:spacing w:after="120"/>
      </w:pPr>
      <w:r>
        <w:rPr>
          <w:b w:val="0"/>
          <w:i w:val="0"/>
        </w:rPr>
        <w:t xml:space="preserve">Cough receptors in the respiratory tract respond to chemical and mechanical irritants; the impulse travels a brainstem reflex pathway to the </w:t>
      </w:r>
      <w:r>
        <w:rPr>
          <w:b/>
          <w:i w:val="0"/>
        </w:rPr>
        <w:t>cough center in the medulla oblongata</w:t>
      </w:r>
      <w:r>
        <w:rPr>
          <w:b w:val="0"/>
          <w:i w:val="0"/>
        </w:rPr>
        <w:t xml:space="preserve">; then deep inspiration, glottis closure and contraction of chest wall, diaphragm and abdominal wall. Complications are insomnia, exhaustion, musculoskeletal pain and hoarseness, and less often dysrhythmias, syncope, stroke and rib fractures. Treatment goals: </w:t>
      </w:r>
      <w:r>
        <w:rPr>
          <w:b/>
          <w:i w:val="0"/>
        </w:rPr>
        <w:t>reduce the number and severity of episodes, and prevent complications</w:t>
      </w:r>
      <w:r>
        <w:rPr>
          <w:b w:val="0"/>
          <w:i w:val="0"/>
        </w:rPr>
        <w:t>.</w:t>
      </w:r>
    </w:p>
    <w:p>
      <w:pPr>
        <w:spacing w:after="120"/>
      </w:pPr>
      <w:r>
        <w:rPr>
          <w:b/>
          <w:i w:val="0"/>
        </w:rPr>
        <w:t>The two antitussives work at opposite ends of the reflex.</w:t>
      </w:r>
      <w:r>
        <w:rPr>
          <w:b/>
          <w:i w:val="0"/>
        </w:rPr>
        <w:t>Benzonatate (Tessalon)</w:t>
      </w:r>
      <w:r>
        <w:rPr>
          <w:b w:val="0"/>
          <w:i w:val="0"/>
        </w:rPr>
        <w:t xml:space="preserve"> anesthetizes the </w:t>
      </w:r>
      <w:r>
        <w:rPr>
          <w:b/>
          <w:i w:val="0"/>
        </w:rPr>
        <w:t>stretch receptors in the lungs</w:t>
      </w:r>
      <w:r>
        <w:rPr>
          <w:b w:val="0"/>
          <w:i w:val="0"/>
        </w:rPr>
        <w:t xml:space="preserve">, where the cough starts. </w:t>
      </w:r>
      <w:r>
        <w:rPr>
          <w:b/>
          <w:i w:val="0"/>
        </w:rPr>
        <w:t>Dextromethorphan (Robitussin, Delsym)</w:t>
      </w:r>
      <w:r>
        <w:rPr>
          <w:b w:val="0"/>
          <w:i w:val="0"/>
        </w:rPr>
        <w:t xml:space="preserve">, related to codeine, suppresses the </w:t>
      </w:r>
      <w:r>
        <w:rPr>
          <w:b/>
          <w:i w:val="0"/>
        </w:rPr>
        <w:t>medullary cough center through sigma receptor activation</w:t>
      </w:r>
      <w:r>
        <w:rPr>
          <w:b w:val="0"/>
          <w:i w:val="0"/>
        </w:rPr>
        <w:t>, where it is organized.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6B3524"/>
          </w:tcPr>
          <w:p>
            <w:pPr>
              <w:spacing w:after="40"/>
            </w:pPr>
            <w:r>
              <w:rPr>
                <w:b/>
                <w:color w:val="FFFFFF"/>
                <w:sz w:val="18"/>
              </w:rPr>
            </w:r>
            <w:r>
              <w:rPr>
                <w:b/>
                <w:i w:val="0"/>
                <w:color w:val="FFFFFF"/>
                <w:sz w:val="18"/>
              </w:rPr>
              <w:t>Agent</w:t>
            </w:r>
          </w:p>
        </w:tc>
        <w:tc>
          <w:tcPr>
            <w:tcW w:type="dxa" w:w="3636"/>
            <w:shd w:val="clear" w:color="auto" w:fill="6B3524"/>
          </w:tcPr>
          <w:p>
            <w:pPr>
              <w:spacing w:after="40"/>
            </w:pPr>
            <w:r>
              <w:rPr>
                <w:b/>
                <w:color w:val="FFFFFF"/>
                <w:sz w:val="18"/>
              </w:rPr>
            </w:r>
            <w:r>
              <w:rPr>
                <w:b/>
                <w:i w:val="0"/>
                <w:color w:val="FFFFFF"/>
                <w:sz w:val="18"/>
              </w:rPr>
              <w:t>Indication</w:t>
            </w:r>
          </w:p>
        </w:tc>
        <w:tc>
          <w:tcPr>
            <w:tcW w:type="dxa" w:w="3636"/>
            <w:shd w:val="clear" w:color="auto" w:fill="6B3524"/>
          </w:tcPr>
          <w:p>
            <w:pPr>
              <w:spacing w:after="40"/>
            </w:pPr>
            <w:r>
              <w:rPr>
                <w:b/>
                <w:color w:val="FFFFFF"/>
                <w:sz w:val="18"/>
              </w:rPr>
            </w:r>
            <w:r>
              <w:rPr>
                <w:b/>
                <w:i w:val="0"/>
                <w:color w:val="FFFFFF"/>
                <w:sz w:val="18"/>
              </w:rPr>
              <w:t>Side effects</w:t>
            </w:r>
          </w:p>
        </w:tc>
        <w:tc>
          <w:tcPr>
            <w:tcW w:type="dxa" w:w="3636"/>
            <w:shd w:val="clear" w:color="auto" w:fill="6B3524"/>
          </w:tcPr>
          <w:p>
            <w:pPr>
              <w:spacing w:after="40"/>
            </w:pPr>
            <w:r>
              <w:rPr>
                <w:b/>
                <w:color w:val="FFFFFF"/>
                <w:sz w:val="18"/>
              </w:rPr>
            </w:r>
            <w:r>
              <w:rPr>
                <w:b/>
                <w:i w:val="0"/>
                <w:color w:val="FFFFFF"/>
                <w:sz w:val="18"/>
              </w:rPr>
              <w:t>Contraindication / interaction</w:t>
            </w:r>
          </w:p>
        </w:tc>
      </w:tr>
      <w:tr>
        <w:tc>
          <w:tcPr>
            <w:tcW w:type="dxa" w:w="3636"/>
          </w:tcPr>
          <w:p>
            <w:pPr>
              <w:spacing w:after="40"/>
            </w:pPr>
            <w:r>
              <w:rPr>
                <w:sz w:val="18"/>
              </w:rPr>
            </w:r>
            <w:r>
              <w:rPr>
                <w:b w:val="0"/>
                <w:i w:val="0"/>
                <w:sz w:val="18"/>
              </w:rPr>
              <w:t>Benzonatate</w:t>
            </w:r>
          </w:p>
        </w:tc>
        <w:tc>
          <w:tcPr>
            <w:tcW w:type="dxa" w:w="3636"/>
          </w:tcPr>
          <w:p>
            <w:pPr>
              <w:spacing w:after="40"/>
            </w:pPr>
            <w:r>
              <w:rPr>
                <w:sz w:val="18"/>
              </w:rPr>
            </w:r>
            <w:r>
              <w:rPr>
                <w:b w:val="0"/>
                <w:i w:val="0"/>
                <w:sz w:val="18"/>
              </w:rPr>
              <w:t xml:space="preserve">Symptomatic relief of </w:t>
            </w:r>
            <w:r>
              <w:rPr>
                <w:b/>
                <w:i w:val="0"/>
                <w:sz w:val="18"/>
              </w:rPr>
              <w:t>non-productive</w:t>
            </w:r>
            <w:r>
              <w:rPr>
                <w:b w:val="0"/>
                <w:i w:val="0"/>
                <w:sz w:val="18"/>
              </w:rPr>
              <w:t xml:space="preserve"> cough</w:t>
            </w:r>
          </w:p>
        </w:tc>
        <w:tc>
          <w:tcPr>
            <w:tcW w:type="dxa" w:w="3636"/>
          </w:tcPr>
          <w:p>
            <w:pPr>
              <w:spacing w:after="40"/>
            </w:pPr>
            <w:r>
              <w:rPr>
                <w:sz w:val="18"/>
              </w:rPr>
            </w:r>
            <w:r>
              <w:rPr>
                <w:b/>
                <w:i w:val="0"/>
                <w:sz w:val="18"/>
              </w:rPr>
              <w:t>Local anesthesia of the mouth if the capsule is chewed</w:t>
            </w:r>
          </w:p>
        </w:tc>
        <w:tc>
          <w:tcPr>
            <w:tcW w:type="dxa" w:w="3636"/>
          </w:tcPr>
          <w:p>
            <w:pPr>
              <w:spacing w:after="40"/>
            </w:pPr>
            <w:r>
              <w:rPr>
                <w:sz w:val="18"/>
              </w:rPr>
            </w:r>
            <w:r>
              <w:rPr>
                <w:b w:val="0"/>
                <w:i w:val="0"/>
                <w:sz w:val="18"/>
              </w:rPr>
              <w:t>Allergy to it or related products (tetracaine)</w:t>
            </w:r>
          </w:p>
        </w:tc>
      </w:tr>
      <w:tr>
        <w:tc>
          <w:tcPr>
            <w:tcW w:type="dxa" w:w="3636"/>
          </w:tcPr>
          <w:p>
            <w:pPr>
              <w:spacing w:after="40"/>
            </w:pPr>
            <w:r>
              <w:rPr>
                <w:sz w:val="18"/>
              </w:rPr>
            </w:r>
            <w:r>
              <w:rPr>
                <w:b w:val="0"/>
                <w:i w:val="0"/>
                <w:sz w:val="18"/>
              </w:rPr>
              <w:t>Dextromethorphan</w:t>
            </w:r>
          </w:p>
        </w:tc>
        <w:tc>
          <w:tcPr>
            <w:tcW w:type="dxa" w:w="3636"/>
          </w:tcPr>
          <w:p>
            <w:pPr>
              <w:spacing w:after="40"/>
            </w:pPr>
            <w:r>
              <w:rPr>
                <w:sz w:val="18"/>
              </w:rPr>
            </w:r>
            <w:r>
              <w:rPr>
                <w:b w:val="0"/>
                <w:i w:val="0"/>
                <w:sz w:val="18"/>
              </w:rPr>
              <w:t>Cough</w:t>
            </w:r>
          </w:p>
        </w:tc>
        <w:tc>
          <w:tcPr>
            <w:tcW w:type="dxa" w:w="3636"/>
          </w:tcPr>
          <w:p>
            <w:pPr>
              <w:spacing w:after="40"/>
            </w:pPr>
            <w:r>
              <w:rPr>
                <w:sz w:val="18"/>
              </w:rPr>
            </w:r>
            <w:r>
              <w:rPr>
                <w:b w:val="0"/>
                <w:i w:val="0"/>
                <w:sz w:val="18"/>
              </w:rPr>
              <w:t>Confusion, excitement, agitation</w:t>
            </w:r>
          </w:p>
        </w:tc>
        <w:tc>
          <w:tcPr>
            <w:tcW w:type="dxa" w:w="3636"/>
          </w:tcPr>
          <w:p>
            <w:pPr>
              <w:spacing w:after="40"/>
            </w:pPr>
            <w:r>
              <w:rPr>
                <w:sz w:val="18"/>
              </w:rPr>
            </w:r>
            <w:r>
              <w:rPr>
                <w:b/>
                <w:i w:val="0"/>
                <w:sz w:val="18"/>
              </w:rPr>
              <w:t>Taking a monoamine oxidase inhibitor now or within 2 weeks</w:t>
            </w:r>
            <w:r>
              <w:rPr>
                <w:b w:val="0"/>
                <w:i w:val="0"/>
                <w:sz w:val="18"/>
              </w:rPr>
              <w:t xml:space="preserve">; </w:t>
            </w:r>
            <w:r>
              <w:rPr>
                <w:b/>
                <w:i w:val="0"/>
                <w:sz w:val="18"/>
              </w:rPr>
              <w:t>serotonin syndrome</w:t>
            </w:r>
            <w:r>
              <w:rPr>
                <w:b w:val="0"/>
                <w:i w:val="0"/>
                <w:sz w:val="18"/>
              </w:rPr>
              <w:t xml:space="preserve"> with other pro-serotonergic drugs</w:t>
            </w:r>
          </w:p>
        </w:tc>
      </w:tr>
      <w:tr>
        <w:tc>
          <w:tcPr>
            <w:tcW w:type="dxa" w:w="3636"/>
          </w:tcPr>
          <w:p>
            <w:pPr>
              <w:spacing w:after="40"/>
            </w:pPr>
            <w:r>
              <w:rPr>
                <w:sz w:val="18"/>
              </w:rPr>
            </w:r>
            <w:r>
              <w:rPr>
                <w:b w:val="0"/>
                <w:i w:val="0"/>
                <w:sz w:val="18"/>
              </w:rPr>
              <w:t>Guaifenesin</w:t>
            </w:r>
          </w:p>
        </w:tc>
        <w:tc>
          <w:tcPr>
            <w:tcW w:type="dxa" w:w="3636"/>
          </w:tcPr>
          <w:p>
            <w:pPr>
              <w:spacing w:after="40"/>
            </w:pPr>
            <w:r>
              <w:rPr>
                <w:sz w:val="18"/>
              </w:rPr>
            </w:r>
            <w:r>
              <w:rPr>
                <w:b w:val="0"/>
                <w:i w:val="0"/>
                <w:sz w:val="18"/>
              </w:rPr>
              <w:t xml:space="preserve">Mucolytic, expectorant: </w:t>
            </w:r>
            <w:r>
              <w:rPr>
                <w:b/>
                <w:i w:val="0"/>
                <w:sz w:val="18"/>
              </w:rPr>
              <w:t>loosens mucus and decreases its viscosity</w:t>
            </w:r>
          </w:p>
        </w:tc>
        <w:tc>
          <w:tcPr>
            <w:tcW w:type="dxa" w:w="3636"/>
          </w:tcPr>
          <w:p>
            <w:pPr>
              <w:spacing w:after="40"/>
            </w:pPr>
            <w:r>
              <w:rPr>
                <w:sz w:val="18"/>
              </w:rPr>
            </w:r>
            <w:r>
              <w:rPr>
                <w:b w:val="0"/>
                <w:i w:val="0"/>
                <w:sz w:val="18"/>
              </w:rPr>
              <w:t>Nausea, vomiting</w:t>
            </w:r>
          </w:p>
        </w:tc>
        <w:tc>
          <w:tcPr>
            <w:tcW w:type="dxa" w:w="3636"/>
          </w:tcPr>
          <w:p>
            <w:pPr>
              <w:spacing w:after="40"/>
            </w:pPr>
            <w:r>
              <w:rPr>
                <w:sz w:val="18"/>
              </w:rPr>
            </w:r>
            <w:r>
              <w:rPr>
                <w:b w:val="0"/>
                <w:i w:val="0"/>
                <w:sz w:val="18"/>
              </w:rPr>
              <w:t>Allergy; no interactions listed</w:t>
            </w:r>
          </w:p>
        </w:tc>
      </w:tr>
    </w:tbl>
    <w:p>
      <w:pPr>
        <w:spacing w:after="80"/>
      </w:pPr>
    </w:p>
    <w:p>
      <w:pPr>
        <w:spacing w:after="120"/>
      </w:pPr>
      <w:r>
        <w:rPr>
          <w:b w:val="0"/>
          <w:i w:val="0"/>
        </w:rPr>
        <w:t xml:space="preserve">Three more agents thin sputum in lung disease. </w:t>
      </w:r>
      <w:r>
        <w:rPr>
          <w:b/>
          <w:i w:val="0"/>
        </w:rPr>
        <w:t>Dornase alfa (Pulmozyme)</w:t>
      </w:r>
      <w:r>
        <w:rPr>
          <w:b w:val="0"/>
          <w:i w:val="0"/>
        </w:rPr>
        <w:t xml:space="preserve">, nebulized, is a DNA enzyme that </w:t>
      </w:r>
      <w:r>
        <w:rPr>
          <w:b/>
          <w:i w:val="0"/>
        </w:rPr>
        <w:t>selectively cleaves DNA from the nuclei of degenerating neutrophils</w:t>
      </w:r>
      <w:r>
        <w:rPr>
          <w:b w:val="0"/>
          <w:i w:val="0"/>
        </w:rPr>
        <w:t xml:space="preserve">, reducing the viscosity of cystic fibrosis sputum; it improves lung function and reduces exacerbations in mild to moderate disease, and helps severe disease less. </w:t>
      </w:r>
      <w:r>
        <w:rPr>
          <w:b/>
          <w:i w:val="0"/>
        </w:rPr>
        <w:t>Hypertonic saline</w:t>
      </w:r>
      <w:r>
        <w:rPr>
          <w:b w:val="0"/>
          <w:i w:val="0"/>
        </w:rPr>
        <w:t xml:space="preserve">, inhaled, is reported to improve the rheology and transport of mucus, airway surface hydration, mucociliary clearance and lung function. </w:t>
      </w:r>
      <w:r>
        <w:rPr>
          <w:b/>
          <w:i w:val="0"/>
        </w:rPr>
        <w:t>N-acetylcysteine (Mucomyst)</w:t>
      </w:r>
      <w:r>
        <w:rPr>
          <w:b w:val="0"/>
          <w:i w:val="0"/>
        </w:rPr>
        <w:t xml:space="preserve">, traditionally the treatment for acetaminophen toxicity, is mucolytic when nebulized: it </w:t>
      </w:r>
      <w:r>
        <w:rPr>
          <w:b/>
          <w:i w:val="0"/>
        </w:rPr>
        <w:t>splits the disulfide bonds linking mucoproteins</w:t>
      </w:r>
      <w:r>
        <w:rPr>
          <w:b w:val="0"/>
          <w:i w:val="0"/>
        </w:rPr>
        <w:t xml:space="preserve">. Inhaled, it smells of </w:t>
      </w:r>
      <w:r>
        <w:rPr>
          <w:b/>
          <w:i w:val="0"/>
        </w:rPr>
        <w:t>rotten eggs</w:t>
      </w:r>
      <w:r>
        <w:rPr>
          <w:b w:val="0"/>
          <w:i w:val="0"/>
        </w:rPr>
        <w:t xml:space="preserve"> (its sulfur), causes nausea and vomiting, and can cause </w:t>
      </w:r>
      <w:r>
        <w:rPr>
          <w:b/>
          <w:i w:val="0"/>
        </w:rPr>
        <w:t>bronchospasm</w:t>
      </w:r>
      <w:r>
        <w:rPr>
          <w:b w:val="0"/>
          <w:i w:val="0"/>
        </w:rPr>
        <w:t>.</w:t>
      </w:r>
    </w:p>
    <w:p>
      <w:pPr>
        <w:spacing w:after="120"/>
      </w:pPr>
      <w:r>
        <w:rPr>
          <w:b w:val="0"/>
          <w:i w:val="0"/>
        </w:rPr>
        <w:t>Also tested</w:t>
      </w:r>
    </w:p>
    <w:p>
      <w:pPr>
        <w:pStyle w:val="ListBullet"/>
        <w:spacing w:after="40"/>
      </w:pPr>
      <w:r>
        <w:rPr>
          <w:b/>
          <w:i w:val="0"/>
          <w:sz w:val="20"/>
        </w:rPr>
        <w:t>Benzonatate capsules.</w:t>
      </w:r>
      <w:r>
        <w:rPr>
          <w:b w:val="0"/>
          <w:i w:val="0"/>
          <w:sz w:val="20"/>
        </w:rPr>
        <w:t xml:space="preserve"> Swallow them whole, because they release local anesthetic that numbs whatever it touches; releasing it in the mouth and throat numbs the airway the patient needs to protect.</w:t>
      </w:r>
    </w:p>
    <w:p>
      <w:pPr>
        <w:pStyle w:val="ListBullet"/>
        <w:spacing w:after="40"/>
      </w:pPr>
      <w:r>
        <w:rPr>
          <w:b/>
          <w:i w:val="0"/>
          <w:sz w:val="20"/>
        </w:rPr>
        <w:t>Goals of cough treatment.</w:t>
      </w:r>
      <w:r>
        <w:rPr>
          <w:b w:val="0"/>
          <w:i w:val="0"/>
          <w:sz w:val="20"/>
        </w:rPr>
        <w:t xml:space="preserve"> The aim is fewer, milder episodes and no complications; abolishing the cough is not the goal, since a productive cough is doing a job.</w:t>
      </w:r>
    </w:p>
    <w:p>
      <w:pPr>
        <w:pStyle w:val="Heading2"/>
        <w:spacing w:before="200" w:after="100"/>
      </w:pPr>
      <w:r>
        <w:rPr>
          <w:rFonts w:ascii="Georgia" w:hAnsi="Georgia"/>
          <w:color w:val="6B3524"/>
        </w:rPr>
        <w:t>2.10 · Objectives 9–10 — Protocols, monitoring and patient education</w:t>
      </w:r>
    </w:p>
    <w:p>
      <w:pPr>
        <w:spacing w:after="120"/>
      </w:pPr>
      <w:r>
        <w:rPr>
          <w:b/>
          <w:i w:val="0"/>
        </w:rPr>
        <w:t>Protocols.</w:t>
      </w:r>
      <w:r>
        <w:rPr>
          <w:b w:val="0"/>
          <w:i w:val="0"/>
        </w:rPr>
        <w:t xml:space="preserve"> Otitis media is judged to have failed treatment at </w:t>
      </w:r>
      <w:r>
        <w:rPr>
          <w:b/>
          <w:i w:val="0"/>
        </w:rPr>
        <w:t>3 days without improvement</w:t>
      </w:r>
      <w:r>
        <w:rPr>
          <w:b w:val="0"/>
          <w:i w:val="0"/>
        </w:rPr>
        <w:t xml:space="preserve">. Sinusitis must meet the </w:t>
      </w:r>
      <w:r>
        <w:rPr>
          <w:b/>
          <w:i w:val="0"/>
        </w:rPr>
        <w:t>10-day or worsening</w:t>
      </w:r>
      <w:r>
        <w:rPr>
          <w:b w:val="0"/>
          <w:i w:val="0"/>
        </w:rPr>
        <w:t xml:space="preserve"> test before it is treated as bacterial. Pharyngitis is confirmed with a </w:t>
      </w:r>
      <w:r>
        <w:rPr>
          <w:b/>
          <w:i w:val="0"/>
        </w:rPr>
        <w:t>rapid strep test</w:t>
      </w:r>
      <w:r>
        <w:rPr>
          <w:b w:val="0"/>
          <w:i w:val="0"/>
        </w:rPr>
        <w:t xml:space="preserve"> before prescribing. Treatment durations on the slides: otitis media 5 to 7 days, possibly up to 10 (5 may be too short for severe disease); sinusitis 10 to 14 days in children and 5 to 7 in adults; strep pharyngitis 10 days of amoxicillin, or one benzathine penicillin injection.</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Nasal spray technique</w:t>
            </w:r>
            <w:r>
              <w:rPr>
                <w:b w:val="0"/>
                <w:i w:val="0"/>
              </w:rPr>
              <w:t xml:space="preserve"> (azelastine and oxymetazoline share it): blow the nose and clear the nostrils; </w:t>
            </w:r>
            <w:r>
              <w:rPr>
                <w:b/>
                <w:i w:val="0"/>
              </w:rPr>
              <w:t>tilt the head down</w:t>
            </w:r>
            <w:r>
              <w:rPr>
                <w:b w:val="0"/>
                <w:i w:val="0"/>
              </w:rPr>
              <w:t xml:space="preserve"> (toward the toes); </w:t>
            </w:r>
            <w:r>
              <w:rPr>
                <w:b/>
                <w:i w:val="0"/>
              </w:rPr>
              <w:t>angle the spray away from the septum</w:t>
            </w:r>
            <w:r>
              <w:rPr>
                <w:b w:val="0"/>
                <w:i w:val="0"/>
              </w:rPr>
              <w:t xml:space="preserve">; </w:t>
            </w:r>
            <w:r>
              <w:rPr>
                <w:b/>
                <w:i w:val="0"/>
              </w:rPr>
              <w:t>right hand sprays the left nostril, left hand the right</w:t>
            </w:r>
            <w:r>
              <w:rPr>
                <w:b w:val="0"/>
                <w:i w:val="0"/>
              </w:rPr>
              <w:t xml:space="preserve">; do not tilt the head back, which draws the drug into the throat; clean the tip with a tissue; do not use with other nasal sprays. </w:t>
            </w:r>
            <w:r>
              <w:rPr>
                <w:b/>
                <w:i w:val="0"/>
              </w:rPr>
              <w:t>If a nosebleed develops, stop and follow up immediately</w:t>
            </w:r>
            <w:r>
              <w:rPr>
                <w:b w:val="0"/>
                <w:i w:val="0"/>
              </w:rPr>
              <w:t xml:space="preserve">; if symptoms worsen, follow up immediately, and if they do not improve, follow up. Oxymetazoline adds one rule: </w:t>
            </w:r>
            <w:r>
              <w:rPr>
                <w:b/>
                <w:i w:val="0"/>
              </w:rPr>
              <w:t>no more than 3 to 5 days</w:t>
            </w:r>
            <w:r>
              <w:rPr>
                <w:b w:val="0"/>
                <w:i w:val="0"/>
              </w:rPr>
              <w:t>.</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Drug</w:t>
            </w:r>
          </w:p>
        </w:tc>
        <w:tc>
          <w:tcPr>
            <w:tcW w:type="dxa" w:w="7272"/>
            <w:shd w:val="clear" w:color="auto" w:fill="6B3524"/>
          </w:tcPr>
          <w:p>
            <w:pPr>
              <w:spacing w:after="40"/>
            </w:pPr>
            <w:r>
              <w:rPr>
                <w:b/>
                <w:color w:val="FFFFFF"/>
                <w:sz w:val="18"/>
              </w:rPr>
            </w:r>
            <w:r>
              <w:rPr>
                <w:b/>
                <w:i w:val="0"/>
                <w:color w:val="FFFFFF"/>
                <w:sz w:val="18"/>
              </w:rPr>
              <w:t>What to tell the patient</w:t>
            </w:r>
          </w:p>
        </w:tc>
      </w:tr>
      <w:tr>
        <w:tc>
          <w:tcPr>
            <w:tcW w:type="dxa" w:w="7272"/>
          </w:tcPr>
          <w:p>
            <w:pPr>
              <w:spacing w:after="40"/>
            </w:pPr>
            <w:r>
              <w:rPr>
                <w:sz w:val="18"/>
              </w:rPr>
            </w:r>
            <w:r>
              <w:rPr>
                <w:b w:val="0"/>
                <w:i w:val="0"/>
                <w:sz w:val="18"/>
              </w:rPr>
              <w:t>Aspirin</w:t>
            </w:r>
          </w:p>
        </w:tc>
        <w:tc>
          <w:tcPr>
            <w:tcW w:type="dxa" w:w="7272"/>
          </w:tcPr>
          <w:p>
            <w:pPr>
              <w:spacing w:after="40"/>
            </w:pPr>
            <w:r>
              <w:rPr>
                <w:sz w:val="18"/>
              </w:rPr>
            </w:r>
            <w:r>
              <w:rPr>
                <w:b w:val="0"/>
                <w:i w:val="0"/>
                <w:sz w:val="18"/>
              </w:rPr>
              <w:t xml:space="preserve">Take for fever above 100 °F; if the fever is not held below 102 °F, or stays above 100 °F for more than 3 days, follow up immediately; drink plenty of fluids; follow up if pain worsens or lasts more than 10 days; </w:t>
            </w:r>
            <w:r>
              <w:rPr>
                <w:b/>
                <w:i w:val="0"/>
                <w:sz w:val="18"/>
              </w:rPr>
              <w:t>do not combine with other NSAIDs</w:t>
            </w:r>
            <w:r>
              <w:rPr>
                <w:b w:val="0"/>
                <w:i w:val="0"/>
                <w:sz w:val="18"/>
              </w:rPr>
              <w:t xml:space="preserve">; </w:t>
            </w:r>
            <w:r>
              <w:rPr>
                <w:b/>
                <w:i w:val="0"/>
                <w:sz w:val="18"/>
              </w:rPr>
              <w:t>do not take with anticoagulants</w:t>
            </w:r>
            <w:r>
              <w:rPr>
                <w:b w:val="0"/>
                <w:i w:val="0"/>
                <w:sz w:val="18"/>
              </w:rPr>
              <w:t>, because aspirin inhibits platelet function</w:t>
            </w:r>
          </w:p>
        </w:tc>
      </w:tr>
      <w:tr>
        <w:tc>
          <w:tcPr>
            <w:tcW w:type="dxa" w:w="7272"/>
          </w:tcPr>
          <w:p>
            <w:pPr>
              <w:spacing w:after="40"/>
            </w:pPr>
            <w:r>
              <w:rPr>
                <w:sz w:val="18"/>
              </w:rPr>
            </w:r>
            <w:r>
              <w:rPr>
                <w:b w:val="0"/>
                <w:i w:val="0"/>
                <w:sz w:val="18"/>
              </w:rPr>
              <w:t>Dexamethasone</w:t>
            </w:r>
          </w:p>
        </w:tc>
        <w:tc>
          <w:tcPr>
            <w:tcW w:type="dxa" w:w="7272"/>
          </w:tcPr>
          <w:p>
            <w:pPr>
              <w:spacing w:after="40"/>
            </w:pPr>
            <w:r>
              <w:rPr>
                <w:sz w:val="18"/>
              </w:rPr>
            </w:r>
            <w:r>
              <w:rPr>
                <w:b/>
                <w:i w:val="0"/>
                <w:sz w:val="18"/>
              </w:rPr>
              <w:t>Do not stop abruptly if taken for more than a week</w:t>
            </w:r>
            <w:r>
              <w:rPr>
                <w:b w:val="0"/>
                <w:i w:val="0"/>
                <w:sz w:val="18"/>
              </w:rPr>
              <w:t>; it weakens the immune system</w:t>
            </w:r>
          </w:p>
        </w:tc>
      </w:tr>
      <w:tr>
        <w:tc>
          <w:tcPr>
            <w:tcW w:type="dxa" w:w="7272"/>
          </w:tcPr>
          <w:p>
            <w:pPr>
              <w:spacing w:after="40"/>
            </w:pPr>
            <w:r>
              <w:rPr>
                <w:sz w:val="18"/>
              </w:rPr>
            </w:r>
            <w:r>
              <w:rPr>
                <w:b w:val="0"/>
                <w:i w:val="0"/>
                <w:sz w:val="18"/>
              </w:rPr>
              <w:t>Prednisone</w:t>
            </w:r>
          </w:p>
        </w:tc>
        <w:tc>
          <w:tcPr>
            <w:tcW w:type="dxa" w:w="7272"/>
          </w:tcPr>
          <w:p>
            <w:pPr>
              <w:spacing w:after="40"/>
            </w:pPr>
            <w:r>
              <w:rPr>
                <w:sz w:val="18"/>
              </w:rPr>
            </w:r>
            <w:r>
              <w:rPr>
                <w:b/>
                <w:i w:val="0"/>
                <w:sz w:val="18"/>
              </w:rPr>
              <w:t>Do not stop abruptly</w:t>
            </w:r>
            <w:r>
              <w:rPr>
                <w:b w:val="0"/>
                <w:i w:val="0"/>
                <w:sz w:val="18"/>
              </w:rPr>
              <w:t xml:space="preserve"> (rebound symptoms); you are immunocompromised — </w:t>
            </w:r>
            <w:r>
              <w:rPr>
                <w:b/>
                <w:i w:val="0"/>
                <w:sz w:val="18"/>
              </w:rPr>
              <w:t>avoid chickenpox, measles and live vaccines</w:t>
            </w:r>
          </w:p>
        </w:tc>
      </w:tr>
      <w:tr>
        <w:tc>
          <w:tcPr>
            <w:tcW w:type="dxa" w:w="7272"/>
          </w:tcPr>
          <w:p>
            <w:pPr>
              <w:spacing w:after="40"/>
            </w:pPr>
            <w:r>
              <w:rPr>
                <w:sz w:val="18"/>
              </w:rPr>
            </w:r>
            <w:r>
              <w:rPr>
                <w:b w:val="0"/>
                <w:i w:val="0"/>
                <w:sz w:val="18"/>
              </w:rPr>
              <w:t>Benzonatate</w:t>
            </w:r>
          </w:p>
        </w:tc>
        <w:tc>
          <w:tcPr>
            <w:tcW w:type="dxa" w:w="7272"/>
          </w:tcPr>
          <w:p>
            <w:pPr>
              <w:spacing w:after="40"/>
            </w:pPr>
            <w:r>
              <w:rPr>
                <w:sz w:val="18"/>
              </w:rPr>
            </w:r>
            <w:r>
              <w:rPr>
                <w:b/>
                <w:i w:val="0"/>
                <w:sz w:val="18"/>
              </w:rPr>
              <w:t>Swallow whole</w:t>
            </w:r>
            <w:r>
              <w:rPr>
                <w:b w:val="0"/>
                <w:i w:val="0"/>
                <w:sz w:val="18"/>
              </w:rPr>
              <w:t xml:space="preserve"> — do not chew, cut or crush</w:t>
            </w:r>
          </w:p>
        </w:tc>
      </w:tr>
      <w:tr>
        <w:tc>
          <w:tcPr>
            <w:tcW w:type="dxa" w:w="7272"/>
          </w:tcPr>
          <w:p>
            <w:pPr>
              <w:spacing w:after="40"/>
            </w:pPr>
            <w:r>
              <w:rPr>
                <w:sz w:val="18"/>
              </w:rPr>
            </w:r>
            <w:r>
              <w:rPr>
                <w:b w:val="0"/>
                <w:i w:val="0"/>
                <w:sz w:val="18"/>
              </w:rPr>
              <w:t>Guaifenesin</w:t>
            </w:r>
          </w:p>
        </w:tc>
        <w:tc>
          <w:tcPr>
            <w:tcW w:type="dxa" w:w="7272"/>
          </w:tcPr>
          <w:p>
            <w:pPr>
              <w:spacing w:after="40"/>
            </w:pPr>
            <w:r>
              <w:rPr>
                <w:sz w:val="18"/>
              </w:rPr>
            </w:r>
            <w:r>
              <w:rPr>
                <w:b w:val="0"/>
                <w:i w:val="0"/>
                <w:sz w:val="18"/>
              </w:rPr>
              <w:t xml:space="preserve">Drink plenty of fluid; </w:t>
            </w:r>
            <w:r>
              <w:rPr>
                <w:b/>
                <w:i w:val="0"/>
                <w:sz w:val="18"/>
              </w:rPr>
              <w:t>expect more drainage</w:t>
            </w:r>
            <w:r>
              <w:rPr>
                <w:b w:val="0"/>
                <w:i w:val="0"/>
                <w:sz w:val="18"/>
              </w:rPr>
              <w:t>; follow up if symptoms persist beyond 7 days or worsen</w:t>
            </w:r>
          </w:p>
        </w:tc>
      </w:tr>
    </w:tbl>
    <w:p>
      <w:pPr>
        <w:spacing w:after="80"/>
      </w:pPr>
    </w:p>
    <w:p>
      <w:pPr>
        <w:spacing w:after="120"/>
      </w:pPr>
      <w:r>
        <w:rPr>
          <w:b w:val="0"/>
          <w:i w:val="0"/>
        </w:rPr>
        <w:t>Also tested</w:t>
      </w:r>
    </w:p>
    <w:p>
      <w:pPr>
        <w:pStyle w:val="ListBullet"/>
        <w:spacing w:after="40"/>
      </w:pPr>
      <w:r>
        <w:rPr>
          <w:b/>
          <w:i w:val="0"/>
          <w:sz w:val="20"/>
        </w:rPr>
        <w:t>Aspirin for fever: other medicines.</w:t>
      </w:r>
      <w:r>
        <w:rPr>
          <w:b w:val="0"/>
          <w:i w:val="0"/>
          <w:sz w:val="20"/>
        </w:rPr>
        <w:t xml:space="preserve"> Patients should not take other non-steroidal anti-inflammatory drugs alongside it; they share a mechanism, so combining them adds the harms without adding the benefit.</w:t>
      </w:r>
    </w:p>
    <w:p>
      <w:pPr>
        <w:pStyle w:val="ListBullet"/>
        <w:spacing w:after="40"/>
      </w:pPr>
      <w:r>
        <w:rPr>
          <w:b/>
          <w:i w:val="0"/>
          <w:sz w:val="20"/>
        </w:rPr>
        <w:t>Aspirin for fever: when to return.</w:t>
      </w:r>
      <w:r>
        <w:rPr>
          <w:b w:val="0"/>
          <w:i w:val="0"/>
          <w:sz w:val="20"/>
        </w:rPr>
        <w:t xml:space="preserve"> Patients are told to come back straight away if the fever does not come down, meaning it fails to respond to the medicine rather than merely persisting.</w:t>
      </w:r>
    </w:p>
    <w:p>
      <w:pPr>
        <w:pStyle w:val="ListBullet"/>
        <w:spacing w:after="40"/>
      </w:pPr>
      <w:r>
        <w:rPr>
          <w:b/>
          <w:i w:val="0"/>
          <w:sz w:val="20"/>
        </w:rPr>
        <w:t>Nasal spray technique.</w:t>
      </w:r>
      <w:r>
        <w:rPr>
          <w:b w:val="0"/>
          <w:i w:val="0"/>
          <w:sz w:val="20"/>
        </w:rPr>
        <w:t xml:space="preserve"> Do not tilt the head back, because that draws the medicine into the throat, wasting the dose and producing the bitter taste that stops people using the spray.</w:t>
      </w:r>
    </w:p>
    <w:p>
      <w:pPr>
        <w:pStyle w:val="ListBullet"/>
        <w:spacing w:after="40"/>
      </w:pPr>
      <w:r>
        <w:rPr>
          <w:b/>
          <w:i w:val="0"/>
          <w:sz w:val="20"/>
        </w:rPr>
        <w:t>Nasal spray hand technique.</w:t>
      </w:r>
      <w:r>
        <w:rPr>
          <w:b w:val="0"/>
          <w:i w:val="0"/>
          <w:sz w:val="20"/>
        </w:rPr>
        <w:t xml:space="preserve"> Use the right hand for the left nostril and the left hand for the right: crossing hands angles the spray away from the septum, which is where nosebleed and perforation happen.</w:t>
      </w:r>
    </w:p>
    <w:p>
      <w:pPr>
        <w:pStyle w:val="Heading1"/>
        <w:spacing w:before="280" w:after="100"/>
      </w:pPr>
      <w:r>
        <w:rPr>
          <w:rFonts w:ascii="Georgia" w:hAnsi="Georgia"/>
          <w:color w:val="6B3524"/>
        </w:rPr>
        <w:t>3 · Antihypertensive Drugs</w:t>
      </w:r>
    </w:p>
    <w:p>
      <w:pPr>
        <w:spacing w:after="120"/>
      </w:pPr>
      <w:r>
        <w:rPr>
          <w:b w:val="0"/>
          <w:i w:val="0"/>
        </w:rPr>
        <w:t>Adam Wood, Pharm.D., DABAT</w:t>
      </w:r>
    </w:p>
    <w:tbl>
      <w:tblPr>
        <w:tblW w:type="auto" w:w="0"/>
        <w:tblLook w:firstColumn="1" w:firstRow="1" w:lastColumn="0" w:lastRow="0" w:noHBand="0" w:noVBand="1" w:val="04A0"/>
        <w:tblBorders>
          <w:top w:val="single" w:sz="8" w:space="0" w:color="6B3524"/>
          <w:left w:val="single" w:sz="8" w:space="0" w:color="6B3524"/>
          <w:bottom w:val="single" w:sz="8" w:space="0" w:color="6B3524"/>
          <w:right w:val="single" w:sz="8" w:space="0" w:color="6B3524"/>
          <w:insideH w:val="single" w:sz="8" w:space="0" w:color="6B3524"/>
          <w:insideV w:val="single" w:sz="8" w:space="0" w:color="6B3524"/>
        </w:tblBorders>
      </w:tblPr>
      <w:tblGrid>
        <w:gridCol w:w="14544"/>
      </w:tblGrid>
      <w:tr>
        <w:tc>
          <w:tcPr>
            <w:tcW w:type="dxa" w:w="14544"/>
            <w:shd w:val="clear" w:color="auto" w:fill="EEF5F4"/>
          </w:tcPr>
          <w:p>
            <w:pPr>
              <w:spacing w:after="80"/>
            </w:pPr>
            <w:r>
              <w:rPr>
                <w:b/>
                <w:color w:val="6B3524"/>
                <w:sz w:val="18"/>
              </w:rPr>
              <w:t>INSTRUCTIONAL OBJECTIVES</w:t>
            </w:r>
          </w:p>
          <w:p>
            <w:pPr>
              <w:pStyle w:val="ListNumber"/>
              <w:spacing w:after="40"/>
            </w:pPr>
            <w:r>
              <w:rPr>
                <w:b w:val="0"/>
                <w:i w:val="0"/>
                <w:sz w:val="20"/>
              </w:rPr>
              <w:t>Identify antihypertensive drug classes and commonly prescribed antihypertensive drugs.</w:t>
            </w:r>
          </w:p>
          <w:p>
            <w:pPr>
              <w:pStyle w:val="ListNumber"/>
              <w:spacing w:after="40"/>
            </w:pPr>
            <w:r>
              <w:rPr>
                <w:b w:val="0"/>
                <w:i w:val="0"/>
                <w:sz w:val="20"/>
              </w:rPr>
              <w:t>Describe the molecular mechanism of action of antihypertensive drugs.</w:t>
            </w:r>
          </w:p>
          <w:p>
            <w:pPr>
              <w:pStyle w:val="ListNumber"/>
              <w:spacing w:after="40"/>
            </w:pPr>
            <w:r>
              <w:rPr>
                <w:b w:val="0"/>
                <w:i w:val="0"/>
                <w:sz w:val="20"/>
              </w:rPr>
              <w:t>Identify indications for commonly used antihypertensive drugs.</w:t>
            </w:r>
          </w:p>
          <w:p>
            <w:pPr>
              <w:pStyle w:val="ListNumber"/>
              <w:spacing w:after="40"/>
            </w:pPr>
            <w:r>
              <w:rPr>
                <w:b w:val="0"/>
                <w:i w:val="0"/>
                <w:sz w:val="20"/>
              </w:rPr>
              <w:t>Describe absorption, distribution, metabolism, and excretion of antihypertensive drugs.</w:t>
            </w:r>
          </w:p>
          <w:p>
            <w:pPr>
              <w:pStyle w:val="ListNumber"/>
              <w:spacing w:after="40"/>
            </w:pPr>
            <w:r>
              <w:rPr>
                <w:b w:val="0"/>
                <w:i w:val="0"/>
                <w:sz w:val="20"/>
              </w:rPr>
              <w:t>Summarize side effects and toxic manifestations of antihypertensive drugs.</w:t>
            </w:r>
          </w:p>
          <w:p>
            <w:pPr>
              <w:pStyle w:val="ListNumber"/>
              <w:spacing w:after="40"/>
            </w:pPr>
            <w:r>
              <w:rPr>
                <w:b w:val="0"/>
                <w:i w:val="0"/>
                <w:sz w:val="20"/>
              </w:rPr>
              <w:t>Describe adverse effects of antihypertensive drugs.</w:t>
            </w:r>
          </w:p>
          <w:p>
            <w:pPr>
              <w:pStyle w:val="ListNumber"/>
              <w:spacing w:after="40"/>
            </w:pPr>
            <w:r>
              <w:rPr>
                <w:b w:val="0"/>
                <w:i w:val="0"/>
                <w:sz w:val="20"/>
              </w:rPr>
              <w:t>Identify contraindications for antihypertensive drugs.</w:t>
            </w:r>
          </w:p>
          <w:p>
            <w:pPr>
              <w:pStyle w:val="ListNumber"/>
              <w:spacing w:after="40"/>
            </w:pPr>
            <w:r>
              <w:rPr>
                <w:b w:val="0"/>
                <w:i w:val="0"/>
                <w:sz w:val="20"/>
              </w:rPr>
              <w:t>Discuss potential drug-drug, drug-food, and drug-herb interactions with antihypertensive drugs.</w:t>
            </w:r>
          </w:p>
          <w:p>
            <w:pPr>
              <w:pStyle w:val="ListNumber"/>
              <w:spacing w:after="40"/>
            </w:pPr>
            <w:r>
              <w:rPr>
                <w:b w:val="0"/>
                <w:i w:val="0"/>
                <w:sz w:val="20"/>
              </w:rPr>
              <w:t>List commonly used protocols and patient monitoring for antihypertensive drugs.</w:t>
            </w:r>
          </w:p>
          <w:p>
            <w:pPr>
              <w:pStyle w:val="ListNumber"/>
              <w:spacing w:after="40"/>
            </w:pPr>
            <w:r>
              <w:rPr>
                <w:b w:val="0"/>
                <w:i w:val="0"/>
                <w:sz w:val="20"/>
              </w:rPr>
              <w:t>Outline appropriate patient education for antihypertensive drugs.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val="0"/>
                <w:i w:val="0"/>
              </w:rPr>
              <w:t>What he said is not examined, or not in depth.</w:t>
            </w:r>
          </w:p>
          <w:p>
            <w:pPr>
              <w:pStyle w:val="ListBullet"/>
              <w:spacing w:after="40"/>
            </w:pPr>
            <w:r>
              <w:rPr>
                <w:b/>
                <w:i w:val="0"/>
                <w:sz w:val="20"/>
              </w:rPr>
              <w:t>Diuretics and heart-failure drugs</w:t>
            </w:r>
            <w:r>
              <w:rPr>
                <w:b w:val="0"/>
                <w:i w:val="0"/>
                <w:sz w:val="20"/>
              </w:rPr>
              <w:t xml:space="preserve"> — “that’s going to get broken up into the heart failure lecture”, which is Lecture 9 and Exam 3. They appear here only as a step in the treatment algorithm.</w:t>
            </w:r>
          </w:p>
          <w:p>
            <w:pPr>
              <w:pStyle w:val="ListBullet"/>
              <w:spacing w:after="40"/>
            </w:pPr>
            <w:r>
              <w:rPr>
                <w:b/>
                <w:i w:val="0"/>
                <w:sz w:val="20"/>
              </w:rPr>
              <w:t>Which ACE inhibitors are not prodrugs</w:t>
            </w:r>
            <w:r>
              <w:rPr>
                <w:b w:val="0"/>
                <w:i w:val="0"/>
                <w:sz w:val="20"/>
              </w:rPr>
              <w:t xml:space="preserve"> — “I don’t care necessarily that you know that.”</w:t>
            </w:r>
          </w:p>
          <w:p>
            <w:pPr>
              <w:pStyle w:val="ListBullet"/>
              <w:spacing w:after="40"/>
            </w:pPr>
            <w:r>
              <w:rPr>
                <w:b/>
                <w:i w:val="0"/>
                <w:sz w:val="20"/>
              </w:rPr>
              <w:t>Elimination routes</w:t>
            </w:r>
            <w:r>
              <w:rPr>
                <w:b w:val="0"/>
                <w:i w:val="0"/>
                <w:sz w:val="20"/>
              </w:rPr>
              <w:t xml:space="preserve"> — renal against biliary for ACE inhibitors and angiotensin receptor blockers, renal against hepatic for beta blockers.</w:t>
            </w:r>
          </w:p>
          <w:p>
            <w:pPr>
              <w:pStyle w:val="ListBullet"/>
              <w:spacing w:after="40"/>
            </w:pPr>
            <w:r>
              <w:rPr>
                <w:b/>
                <w:i w:val="0"/>
                <w:sz w:val="20"/>
              </w:rPr>
              <w:t>The plus counts in the calcium channel blocker table</w:t>
            </w:r>
            <w:r>
              <w:rPr>
                <w:b w:val="0"/>
                <w:i w:val="0"/>
                <w:sz w:val="20"/>
              </w:rPr>
              <w:t xml:space="preserve"> — “am I going to have you memorize which one has three pluses versus five pluses? No” — but the </w:t>
            </w:r>
            <w:r>
              <w:rPr>
                <w:b w:val="0"/>
                <w:i/>
                <w:sz w:val="20"/>
              </w:rPr>
              <w:t>pattern</w:t>
            </w:r>
            <w:r>
              <w:rPr>
                <w:b w:val="0"/>
                <w:i w:val="0"/>
                <w:sz w:val="20"/>
              </w:rPr>
              <w:t xml:space="preserve"> is examined.</w:t>
            </w:r>
          </w:p>
          <w:p>
            <w:pPr>
              <w:pStyle w:val="ListBullet"/>
              <w:spacing w:after="40"/>
            </w:pPr>
            <w:r>
              <w:rPr>
                <w:b/>
                <w:i w:val="0"/>
                <w:sz w:val="20"/>
              </w:rPr>
              <w:t>Membrane stabilizing activity, intrinsic sympathomimetic activity and lipid solubility of beta blockers</w:t>
            </w:r>
            <w:r>
              <w:rPr>
                <w:b w:val="0"/>
                <w:i w:val="0"/>
                <w:sz w:val="20"/>
              </w:rPr>
              <w:t xml:space="preserve"> — with one exception he kept: propranolol’s high lipid solubility and its central nervous system effects.</w:t>
            </w:r>
          </w:p>
          <w:p>
            <w:pPr>
              <w:pStyle w:val="ListBullet"/>
              <w:spacing w:after="40"/>
            </w:pPr>
            <w:r>
              <w:rPr>
                <w:b/>
                <w:i w:val="0"/>
                <w:sz w:val="20"/>
              </w:rPr>
              <w:t>Carteolol and betaxolol</w:t>
            </w:r>
            <w:r>
              <w:rPr>
                <w:b w:val="0"/>
                <w:i w:val="0"/>
                <w:sz w:val="20"/>
              </w:rPr>
              <w:t xml:space="preserve"> (glaucoma agents) among the third-generation beta blockers; he focuses on carvedilol and labetalol. </w:t>
            </w:r>
            <w:r>
              <w:rPr>
                <w:b/>
                <w:i w:val="0"/>
                <w:sz w:val="20"/>
              </w:rPr>
              <w:t>Terazosin and doxazosin</w:t>
            </w:r>
            <w:r>
              <w:rPr>
                <w:b w:val="0"/>
                <w:i w:val="0"/>
                <w:sz w:val="20"/>
              </w:rPr>
              <w:t xml:space="preserve"> beyond recognizing them as alpha-1 blockers. The AT2 receptor.</w:t>
            </w:r>
          </w:p>
          <w:p>
            <w:pPr>
              <w:pStyle w:val="ListBullet"/>
              <w:spacing w:after="40"/>
            </w:pPr>
            <w:r>
              <w:rPr>
                <w:b/>
                <w:i w:val="0"/>
                <w:sz w:val="20"/>
              </w:rPr>
              <w:t>Depth on migraine, thyroid, diabetes and pregnancy hypertension</w:t>
            </w:r>
            <w:r>
              <w:rPr>
                <w:b w:val="0"/>
                <w:i w:val="0"/>
                <w:sz w:val="20"/>
              </w:rPr>
              <w:t>, which are taught in later courses: know the indication as the slide states it.</w:t>
            </w:r>
          </w:p>
          <w:p>
            <w:pPr>
              <w:spacing w:after="120"/>
            </w:pPr>
            <w:r>
              <w:rPr>
                <w:b w:val="0"/>
                <w:i w:val="0"/>
              </w:rPr>
              <w:t>“the patient’s on this, what do you want to go to next — or based off of this comorbidity, what should you start with.”</w:t>
            </w:r>
          </w:p>
        </w:tc>
      </w:tr>
    </w:tbl>
    <w:p>
      <w:pPr>
        <w:spacing w:after="80"/>
      </w:pPr>
    </w:p>
    <w:p>
      <w:pPr>
        <w:spacing w:after="120"/>
      </w:pPr>
      <w:r>
        <w:rPr>
          <w:b/>
          <w:i w:val="0"/>
        </w:rPr>
        <w:t>Name the class from the suffix.</w:t>
      </w:r>
      <w:r>
        <w:rPr>
          <w:b w:val="0"/>
          <w:i w:val="0"/>
        </w:rPr>
        <w:t xml:space="preserve"> “Your job is to be able to identify these agents into which class they fit.” </w:t>
      </w:r>
      <w:r>
        <w:rPr>
          <w:b/>
          <w:i w:val="0"/>
        </w:rPr>
        <w:t>-pril</w:t>
      </w:r>
      <w:r>
        <w:rPr>
          <w:b w:val="0"/>
          <w:i w:val="0"/>
        </w:rPr>
        <w:t xml:space="preserve"> = ACE (angiotensin-converting enzyme) inhibitor; </w:t>
      </w:r>
      <w:r>
        <w:rPr>
          <w:b/>
          <w:i w:val="0"/>
        </w:rPr>
        <w:t>-sartan</w:t>
      </w:r>
      <w:r>
        <w:rPr>
          <w:b w:val="0"/>
          <w:i w:val="0"/>
        </w:rPr>
        <w:t xml:space="preserve"> = angiotensin receptor blocker; </w:t>
      </w:r>
      <w:r>
        <w:rPr>
          <w:b/>
          <w:i w:val="0"/>
        </w:rPr>
        <w:t>-dipine</w:t>
      </w:r>
      <w:r>
        <w:rPr>
          <w:b w:val="0"/>
          <w:i w:val="0"/>
        </w:rPr>
        <w:t xml:space="preserve"> = dihydropyridine calcium channel blocker; </w:t>
      </w:r>
      <w:r>
        <w:rPr>
          <w:b/>
          <w:i w:val="0"/>
        </w:rPr>
        <w:t>-olol</w:t>
      </w:r>
      <w:r>
        <w:rPr>
          <w:b w:val="0"/>
          <w:i w:val="0"/>
        </w:rPr>
        <w:t xml:space="preserve"> = beta blocker; </w:t>
      </w:r>
      <w:r>
        <w:rPr>
          <w:b/>
          <w:i w:val="0"/>
        </w:rPr>
        <w:t>-zosin</w:t>
      </w:r>
      <w:r>
        <w:rPr>
          <w:b w:val="0"/>
          <w:i w:val="0"/>
        </w:rPr>
        <w:t xml:space="preserve"> = alpha-1 blocker (not piperacillin-tazobactam, the antibiotic). His rule for beta blockers, which holds for every agent in the deck’s first two tables: names starting </w:t>
      </w:r>
      <w:r>
        <w:rPr>
          <w:b/>
          <w:i w:val="0"/>
        </w:rPr>
        <w:t>N to Z are non-selective</w:t>
      </w:r>
      <w:r>
        <w:rPr>
          <w:b w:val="0"/>
          <w:i w:val="0"/>
        </w:rPr>
        <w:t xml:space="preserve">, </w:t>
      </w:r>
      <w:r>
        <w:rPr>
          <w:b/>
          <w:i w:val="0"/>
        </w:rPr>
        <w:t>A to M are beta-1 selective</w:t>
      </w:r>
      <w:r>
        <w:rPr>
          <w:b w:val="0"/>
          <w:i w:val="0"/>
        </w:rPr>
        <w:t xml:space="preserve"> — with </w:t>
      </w:r>
      <w:r>
        <w:rPr>
          <w:b/>
          <w:i w:val="0"/>
        </w:rPr>
        <w:t>carvedilol and labetalol</w:t>
      </w:r>
      <w:r>
        <w:rPr>
          <w:b w:val="0"/>
          <w:i w:val="0"/>
        </w:rPr>
        <w:t xml:space="preserve"> as the exceptions.</w:t>
      </w:r>
    </w:p>
    <w:p>
      <w:pPr>
        <w:pStyle w:val="Heading2"/>
        <w:spacing w:before="200" w:after="100"/>
      </w:pPr>
      <w:r>
        <w:rPr>
          <w:rFonts w:ascii="Georgia" w:hAnsi="Georgia"/>
          <w:color w:val="6B3524"/>
        </w:rPr>
        <w:t>3.1 · Objectives 1–2 — The renin-angiotensin system the drugs act on</w:t>
      </w:r>
    </w:p>
    <w:p>
      <w:pPr>
        <w:spacing w:after="120"/>
      </w:pPr>
      <w:r>
        <w:rPr>
          <w:b w:val="0"/>
          <w:i w:val="0"/>
        </w:rPr>
        <w:t xml:space="preserve">Renin release is controlled three ways: the </w:t>
      </w:r>
      <w:r>
        <w:rPr>
          <w:b/>
          <w:i w:val="0"/>
        </w:rPr>
        <w:t>renal baroreceptor</w:t>
      </w:r>
      <w:r>
        <w:rPr>
          <w:b w:val="0"/>
          <w:i w:val="0"/>
        </w:rPr>
        <w:t xml:space="preserve"> (less renal perfusion, more renin), the </w:t>
      </w:r>
      <w:r>
        <w:rPr>
          <w:b/>
          <w:i w:val="0"/>
        </w:rPr>
        <w:t>macula densa</w:t>
      </w:r>
      <w:r>
        <w:rPr>
          <w:b w:val="0"/>
          <w:i w:val="0"/>
        </w:rPr>
        <w:t xml:space="preserve">, which senses sodium and chloride in the distal tubule, and the </w:t>
      </w:r>
      <w:r>
        <w:rPr>
          <w:b/>
          <w:i w:val="0"/>
        </w:rPr>
        <w:t>sympathetic nervous system</w:t>
      </w:r>
      <w:r>
        <w:rPr>
          <w:b w:val="0"/>
          <w:i w:val="0"/>
        </w:rPr>
        <w:t xml:space="preserve">, through beta-1 receptors on the juxtaglomerular cells. The slide prints the macula densa line without its arrow; in lecture he gave the direction as </w:t>
      </w:r>
      <w:r>
        <w:rPr>
          <w:b w:val="0"/>
          <w:i/>
        </w:rPr>
        <w:t>a decrease</w:t>
      </w:r>
      <w:r>
        <w:rPr>
          <w:b w:val="0"/>
          <w:i w:val="0"/>
        </w:rPr>
        <w:t xml:space="preserve"> in sodium or chloride stimulating renin release.</w:t>
      </w:r>
    </w:p>
    <w:p>
      <w:pPr>
        <w:spacing w:after="120"/>
      </w:pPr>
      <w:r>
        <w:rPr>
          <w:b w:val="0"/>
          <w:i w:val="0"/>
        </w:rPr>
        <w:t xml:space="preserve">Renin makes angiotensin I; ACE turns it into </w:t>
      </w:r>
      <w:r>
        <w:rPr>
          <w:b/>
          <w:i w:val="0"/>
        </w:rPr>
        <w:t>angiotensin II</w:t>
      </w:r>
      <w:r>
        <w:rPr>
          <w:b w:val="0"/>
          <w:i w:val="0"/>
        </w:rPr>
        <w:t xml:space="preserve">; and the same enzyme </w:t>
      </w:r>
      <w:r>
        <w:rPr>
          <w:b/>
          <w:i w:val="0"/>
        </w:rPr>
        <w:t>breaks down bradykinin</w:t>
      </w:r>
      <w:r>
        <w:rPr>
          <w:b w:val="0"/>
          <w:i w:val="0"/>
        </w:rPr>
        <w:t xml:space="preserve">. Angiotensin II acts at the </w:t>
      </w:r>
      <w:r>
        <w:rPr>
          <w:b/>
          <w:i w:val="0"/>
        </w:rPr>
        <w:t>AT1 receptor</w:t>
      </w:r>
      <w:r>
        <w:rPr>
          <w:b w:val="0"/>
          <w:i w:val="0"/>
        </w:rPr>
        <w:t xml:space="preserve"> (heart, endothelium, vascular smooth muscle, kidney) to cause vasoconstriction and renal vasoconstriction, aldosterone secretion, sodium reabsorption, increased norepinephrine release and central sympathetic outflow, thirst and antidiuretic hormone, and cell hypertrophy with cardiac remodeling after a myocardial infarction. Overactivity of the system drives hypertension, heart failure, diabetic nephropathy and post-infarction remodeling — which is why those are the indications for the drugs that block it.</w:t>
      </w:r>
    </w:p>
    <w:p>
      <w:pPr>
        <w:spacing w:after="120"/>
      </w:pPr>
      <w:r>
        <w:rPr>
          <w:b/>
          <w:i w:val="0"/>
        </w:rPr>
        <w:t>Two drugs, two points in the same chain.</w:t>
      </w:r>
      <w:r>
        <w:rPr>
          <w:b w:val="0"/>
          <w:i w:val="0"/>
        </w:rPr>
        <w:t xml:space="preserve"> ACE inhibitors stop angiotensin II being </w:t>
      </w:r>
      <w:r>
        <w:rPr>
          <w:b w:val="0"/>
          <w:i/>
        </w:rPr>
        <w:t>made</w:t>
      </w:r>
      <w:r>
        <w:rPr>
          <w:b w:val="0"/>
          <w:i w:val="0"/>
        </w:rPr>
        <w:t xml:space="preserve"> — and so also stop bradykinin being </w:t>
      </w:r>
      <w:r>
        <w:rPr>
          <w:b w:val="0"/>
          <w:i/>
        </w:rPr>
        <w:t>broken down</w:t>
      </w:r>
      <w:r>
        <w:rPr>
          <w:b w:val="0"/>
          <w:i w:val="0"/>
        </w:rPr>
        <w:t xml:space="preserve">. Angiotensin receptor blockers stop angiotensin II </w:t>
      </w:r>
      <w:r>
        <w:rPr>
          <w:b w:val="0"/>
          <w:i/>
        </w:rPr>
        <w:t>acting</w:t>
      </w:r>
      <w:r>
        <w:rPr>
          <w:b w:val="0"/>
          <w:i w:val="0"/>
        </w:rPr>
        <w:t xml:space="preserve"> at AT1 and leave bradykinin alone. Almost every difference between the two classes in 3.2 and 3.3 comes from that one sentence.</w:t>
      </w:r>
    </w:p>
    <w:p>
      <w:pPr>
        <w:pStyle w:val="Heading2"/>
        <w:spacing w:before="200" w:after="100"/>
      </w:pPr>
      <w:r>
        <w:rPr>
          <w:rFonts w:ascii="Georgia" w:hAnsi="Georgia"/>
          <w:color w:val="6B3524"/>
        </w:rPr>
        <w:t>3.2 · Objectives 1–10 — ACE inhibitors</w:t>
      </w:r>
    </w:p>
    <w:p>
      <w:pPr>
        <w:spacing w:after="120"/>
      </w:pPr>
      <w:r>
        <w:rPr>
          <w:b/>
          <w:i w:val="0"/>
        </w:rPr>
        <w:t>Agents (-pril):</w:t>
      </w:r>
      <w:r>
        <w:rPr>
          <w:b w:val="0"/>
          <w:i w:val="0"/>
        </w:rPr>
        <w:t xml:space="preserve"> captopril, lisinopril, enalapril (whose active form, </w:t>
      </w:r>
      <w:r>
        <w:rPr>
          <w:b/>
          <w:i w:val="0"/>
        </w:rPr>
        <w:t>enalaprilat, is the intravenous one</w:t>
      </w:r>
      <w:r>
        <w:rPr>
          <w:b w:val="0"/>
          <w:i w:val="0"/>
        </w:rPr>
        <w:t>), benazepril, fosinopril, trandolapril, quinapril, ramipril, perindopril, moexipril. They share an identical mechanism and differ only in half-life and metabolism; most are dosed once daily, captopril more often because its half-life is short, and when the effect wears off before the next dose a twice-daily schedule is used.</w:t>
      </w:r>
    </w:p>
    <w:p>
      <w:pPr>
        <w:spacing w:after="120"/>
      </w:pPr>
      <w:r>
        <w:rPr>
          <w:b/>
          <w:i w:val="0"/>
        </w:rPr>
        <w:t>Mechanism:</w:t>
      </w:r>
      <w:r>
        <w:rPr>
          <w:b w:val="0"/>
          <w:i w:val="0"/>
        </w:rPr>
        <w:t xml:space="preserve"> blocking ACE lowers angiotensin II, so there is less vasoconstriction and renal vasoconstriction, less aldosterone and sodium reabsorption, and less angiotensin-driven norepinephrine release; bradykinin metabolism falls; and with the negative feedback gone, angiotensin I and renin rise.</w:t>
      </w:r>
    </w:p>
    <w:p>
      <w:pPr>
        <w:spacing w:after="120"/>
      </w:pPr>
      <w:r>
        <w:rPr>
          <w:b/>
          <w:i w:val="0"/>
        </w:rPr>
        <w:t>Indications.</w:t>
      </w:r>
      <w:r>
        <w:rPr>
          <w:b w:val="0"/>
          <w:i w:val="0"/>
        </w:rPr>
        <w:t xml:space="preserve"> Hypertension — lowering total peripheral resistance, systolic and diastolic pressure, and left ventricular hypertrophy — and </w:t>
      </w:r>
      <w:r>
        <w:rPr>
          <w:b w:val="0"/>
          <w:i w:val="0"/>
          <w:highlight w:val="yellow"/>
        </w:rPr>
        <w:t>preferred in diabetics (kidney protective effects)</w:t>
      </w:r>
      <w:r>
        <w:rPr>
          <w:b w:val="0"/>
          <w:i w:val="0"/>
        </w:rPr>
        <w:t xml:space="preserve">. Left ventricular dysfunction and heart failure, where they reduce remodeling, afterload and preload, raise cardiac output and cut infarctions and hospital admissions: </w:t>
      </w:r>
      <w:r>
        <w:rPr>
          <w:b w:val="0"/>
          <w:i w:val="0"/>
          <w:highlight w:val="yellow"/>
        </w:rPr>
        <w:t>ACE inhibitors should be given to all with LV dysfunction unless contraindicated</w:t>
      </w:r>
      <w:r>
        <w:rPr>
          <w:b w:val="0"/>
          <w:i w:val="0"/>
        </w:rPr>
        <w:t xml:space="preserve">. After a myocardial infarction, to reduce remodeling and overall mortality. And </w:t>
      </w:r>
      <w:r>
        <w:rPr>
          <w:b/>
          <w:i w:val="0"/>
        </w:rPr>
        <w:t>diabetic nephropathy</w:t>
      </w:r>
      <w:r>
        <w:rPr>
          <w:b w:val="0"/>
          <w:i w:val="0"/>
        </w:rPr>
        <w:t>, by lowering glomerular pressure.</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Hyperkalemia — ↑ K+ levels — most often seen with renal disease, and those taking potassium sparing diuretics, K+ supplements or salt substitutes.</w:t>
            </w:r>
          </w:p>
          <w:p>
            <w:pPr>
              <w:spacing w:after="120"/>
            </w:pPr>
            <w:r>
              <w:rPr>
                <w:b w:val="0"/>
                <w:i w:val="0"/>
              </w:rPr>
              <w:t xml:space="preserve">His strongest cue of the whole lecture: </w:t>
            </w:r>
            <w:r>
              <w:rPr>
                <w:b w:val="0"/>
                <w:i/>
              </w:rPr>
              <w:t>“anytime you have a medication which affects your potassium levels you have to know that… it’s a very easy test question to ask.”</w:t>
            </w:r>
            <w:r>
              <w:rPr>
                <w:b w:val="0"/>
                <w:i w:val="0"/>
              </w:rPr>
              <w:t xml:space="preserve"> The same warning applies to angiotensin receptor blockers (3.3). The patient education that follows from it: no potassium supplements or salt substitutes without asking.</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Adverse effect</w:t>
            </w:r>
          </w:p>
        </w:tc>
        <w:tc>
          <w:tcPr>
            <w:tcW w:type="dxa" w:w="7272"/>
            <w:shd w:val="clear" w:color="auto" w:fill="6B3524"/>
          </w:tcPr>
          <w:p>
            <w:pPr>
              <w:spacing w:after="40"/>
            </w:pPr>
            <w:r>
              <w:rPr>
                <w:b/>
                <w:color w:val="FFFFFF"/>
                <w:sz w:val="18"/>
              </w:rPr>
            </w:r>
            <w:r>
              <w:rPr>
                <w:b/>
                <w:i w:val="0"/>
                <w:color w:val="FFFFFF"/>
                <w:sz w:val="18"/>
              </w:rPr>
              <w:t>What the slide says</w:t>
            </w:r>
          </w:p>
        </w:tc>
      </w:tr>
      <w:tr>
        <w:tc>
          <w:tcPr>
            <w:tcW w:type="dxa" w:w="7272"/>
          </w:tcPr>
          <w:p>
            <w:pPr>
              <w:spacing w:after="40"/>
            </w:pPr>
            <w:r>
              <w:rPr>
                <w:sz w:val="18"/>
              </w:rPr>
            </w:r>
            <w:r>
              <w:rPr>
                <w:b/>
                <w:i w:val="0"/>
                <w:sz w:val="18"/>
              </w:rPr>
              <w:t>Dry cough</w:t>
            </w:r>
          </w:p>
        </w:tc>
        <w:tc>
          <w:tcPr>
            <w:tcW w:type="dxa" w:w="7272"/>
          </w:tcPr>
          <w:p>
            <w:pPr>
              <w:spacing w:after="40"/>
            </w:pPr>
            <w:r>
              <w:rPr>
                <w:sz w:val="18"/>
              </w:rPr>
            </w:r>
            <w:r>
              <w:rPr>
                <w:b w:val="0"/>
                <w:i w:val="0"/>
                <w:sz w:val="18"/>
              </w:rPr>
              <w:t xml:space="preserve">5 to 15%; </w:t>
            </w:r>
            <w:r>
              <w:rPr>
                <w:b/>
                <w:i w:val="0"/>
                <w:sz w:val="18"/>
              </w:rPr>
              <w:t>bradykinin and substance P accumulate in the lungs</w:t>
            </w:r>
            <w:r>
              <w:rPr>
                <w:b w:val="0"/>
                <w:i w:val="0"/>
                <w:sz w:val="18"/>
              </w:rPr>
              <w:t>; appears 1 week to 6 months into therapy; not dose- or agent-related; more frequent in women; may require stopping the drug</w:t>
            </w:r>
          </w:p>
        </w:tc>
      </w:tr>
      <w:tr>
        <w:tc>
          <w:tcPr>
            <w:tcW w:type="dxa" w:w="7272"/>
          </w:tcPr>
          <w:p>
            <w:pPr>
              <w:spacing w:after="40"/>
            </w:pPr>
            <w:r>
              <w:rPr>
                <w:sz w:val="18"/>
              </w:rPr>
            </w:r>
            <w:r>
              <w:rPr>
                <w:b/>
                <w:i w:val="0"/>
                <w:sz w:val="18"/>
              </w:rPr>
              <w:t>First-dose hypotension</w:t>
            </w:r>
          </w:p>
        </w:tc>
        <w:tc>
          <w:tcPr>
            <w:tcW w:type="dxa" w:w="7272"/>
          </w:tcPr>
          <w:p>
            <w:pPr>
              <w:spacing w:after="40"/>
            </w:pPr>
            <w:r>
              <w:rPr>
                <w:sz w:val="18"/>
              </w:rPr>
            </w:r>
            <w:r>
              <w:rPr>
                <w:b w:val="0"/>
                <w:i w:val="0"/>
                <w:sz w:val="18"/>
              </w:rPr>
              <w:t xml:space="preserve">With the first dose or an increase; most common in </w:t>
            </w:r>
            <w:r>
              <w:rPr>
                <w:b/>
                <w:i w:val="0"/>
                <w:sz w:val="18"/>
              </w:rPr>
              <w:t>sodium-depleted patients, heart failure, or those on multiple antihypertensives</w:t>
            </w:r>
          </w:p>
        </w:tc>
      </w:tr>
      <w:tr>
        <w:tc>
          <w:tcPr>
            <w:tcW w:type="dxa" w:w="7272"/>
          </w:tcPr>
          <w:p>
            <w:pPr>
              <w:spacing w:after="40"/>
            </w:pPr>
            <w:r>
              <w:rPr>
                <w:sz w:val="18"/>
              </w:rPr>
            </w:r>
            <w:r>
              <w:rPr>
                <w:b/>
                <w:i w:val="0"/>
                <w:sz w:val="18"/>
              </w:rPr>
              <w:t>Renal impairment</w:t>
            </w:r>
          </w:p>
        </w:tc>
        <w:tc>
          <w:tcPr>
            <w:tcW w:type="dxa" w:w="7272"/>
          </w:tcPr>
          <w:p>
            <w:pPr>
              <w:spacing w:after="40"/>
            </w:pPr>
            <w:r>
              <w:rPr>
                <w:sz w:val="18"/>
              </w:rPr>
            </w:r>
            <w:r>
              <w:rPr>
                <w:b w:val="0"/>
                <w:i w:val="0"/>
                <w:sz w:val="18"/>
              </w:rPr>
              <w:t xml:space="preserve">Where renal blood flow depends on angiotensin II, </w:t>
            </w:r>
            <w:r>
              <w:rPr>
                <w:b w:val="0"/>
                <w:i w:val="0"/>
                <w:sz w:val="18"/>
                <w:highlight w:val="yellow"/>
              </w:rPr>
              <w:t>ACE inhibitors will dramatically decrease GFR — use cautiously, low doses move upward slowly</w:t>
            </w:r>
          </w:p>
        </w:tc>
      </w:tr>
      <w:tr>
        <w:tc>
          <w:tcPr>
            <w:tcW w:type="dxa" w:w="7272"/>
          </w:tcPr>
          <w:p>
            <w:pPr>
              <w:spacing w:after="40"/>
            </w:pPr>
            <w:r>
              <w:rPr>
                <w:sz w:val="18"/>
              </w:rPr>
            </w:r>
            <w:r>
              <w:rPr>
                <w:b/>
                <w:i w:val="0"/>
                <w:sz w:val="18"/>
              </w:rPr>
              <w:t>Angioedema</w:t>
            </w:r>
          </w:p>
        </w:tc>
        <w:tc>
          <w:tcPr>
            <w:tcW w:type="dxa" w:w="7272"/>
          </w:tcPr>
          <w:p>
            <w:pPr>
              <w:spacing w:after="40"/>
            </w:pPr>
            <w:r>
              <w:rPr>
                <w:sz w:val="18"/>
              </w:rPr>
            </w:r>
            <w:r>
              <w:rPr>
                <w:b w:val="0"/>
                <w:i w:val="0"/>
                <w:sz w:val="18"/>
              </w:rPr>
              <w:t xml:space="preserve">Rare (0.1 to 0.5%): rapid swelling of nose, throat, mouth, larynx, lips and tongue; usually in the </w:t>
            </w:r>
            <w:r>
              <w:rPr>
                <w:b/>
                <w:i w:val="0"/>
                <w:sz w:val="18"/>
              </w:rPr>
              <w:t>first week</w:t>
            </w:r>
            <w:r>
              <w:rPr>
                <w:b w:val="0"/>
                <w:i w:val="0"/>
                <w:sz w:val="18"/>
              </w:rPr>
              <w:t xml:space="preserve">; reversible on stopping; </w:t>
            </w:r>
            <w:r>
              <w:rPr>
                <w:b/>
                <w:i w:val="0"/>
                <w:sz w:val="18"/>
              </w:rPr>
              <w:t>bradykinin</w:t>
            </w:r>
            <w:r>
              <w:rPr>
                <w:b w:val="0"/>
                <w:i w:val="0"/>
                <w:sz w:val="18"/>
              </w:rPr>
              <w:t>-mediated</w:t>
            </w:r>
          </w:p>
        </w:tc>
      </w:tr>
      <w:tr>
        <w:tc>
          <w:tcPr>
            <w:tcW w:type="dxa" w:w="7272"/>
          </w:tcPr>
          <w:p>
            <w:pPr>
              <w:spacing w:after="40"/>
            </w:pPr>
            <w:r>
              <w:rPr>
                <w:sz w:val="18"/>
              </w:rPr>
            </w:r>
            <w:r>
              <w:rPr>
                <w:b/>
                <w:i w:val="0"/>
                <w:sz w:val="18"/>
              </w:rPr>
              <w:t>Fetal harm</w:t>
            </w:r>
          </w:p>
        </w:tc>
        <w:tc>
          <w:tcPr>
            <w:tcW w:type="dxa" w:w="7272"/>
          </w:tcPr>
          <w:p>
            <w:pPr>
              <w:spacing w:after="40"/>
            </w:pPr>
            <w:r>
              <w:rPr>
                <w:sz w:val="18"/>
              </w:rPr>
            </w:r>
            <w:r>
              <w:rPr>
                <w:b w:val="0"/>
                <w:i w:val="0"/>
                <w:sz w:val="18"/>
                <w:highlight w:val="yellow"/>
              </w:rPr>
              <w:t>Contraindicated in 2nd and 3rd trimesters. Birth defects and fetal death</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Kidney protective, yet able to drop the GFR — both are true.</w:t>
            </w:r>
            <w:r>
              <w:rPr>
                <w:b w:val="0"/>
                <w:i w:val="0"/>
              </w:rPr>
              <w:t xml:space="preserve"> His explanation: angiotensin II constricts the </w:t>
            </w:r>
            <w:r>
              <w:rPr>
                <w:b w:val="0"/>
                <w:i/>
              </w:rPr>
              <w:t>efferent</w:t>
            </w:r>
            <w:r>
              <w:rPr>
                <w:b w:val="0"/>
                <w:i w:val="0"/>
              </w:rPr>
              <w:t xml:space="preserve"> arteriole. Take it away and glomerular pressure falls. In a kidney that depends on angiotensin II to keep filtering, that fall is an acute drop in glomerular filtration rate (GFR) — hence start low and titrate slowly. Over the long term the same lower pressure is what protects the diabetic kidney.</w:t>
            </w:r>
          </w:p>
        </w:tc>
      </w:tr>
    </w:tbl>
    <w:p>
      <w:pPr>
        <w:spacing w:after="80"/>
      </w:pPr>
    </w:p>
    <w:p>
      <w:pPr>
        <w:spacing w:after="120"/>
      </w:pPr>
      <w:r>
        <w:rPr>
          <w:b/>
          <w:i w:val="0"/>
        </w:rPr>
        <w:t>Interactions:</w:t>
      </w:r>
      <w:r>
        <w:rPr>
          <w:b w:val="0"/>
          <w:i w:val="0"/>
        </w:rPr>
        <w:t xml:space="preserve"> </w:t>
      </w:r>
      <w:r>
        <w:rPr>
          <w:b/>
          <w:i w:val="0"/>
        </w:rPr>
        <w:t>NSAIDs (nonsteroidal anti-inflammatory drugs) decrease the ACE inhibitor effect</w:t>
      </w:r>
      <w:r>
        <w:rPr>
          <w:b w:val="0"/>
          <w:i w:val="0"/>
        </w:rPr>
        <w:t xml:space="preserve"> — the slide’s reason is that they block the prostaglandin-mediated relaxation bradykinin produces; potassium-sparing diuretics, potassium supplements and salt substitutes cause hyperkalemia; several antihypertensives together raise the risk of first-dose hypotension. No drug-food or drug-herb interaction is given for any class in this lecture.</w:t>
      </w:r>
    </w:p>
    <w:p>
      <w:pPr>
        <w:spacing w:after="120"/>
      </w:pPr>
      <w:r>
        <w:rPr>
          <w:b w:val="0"/>
          <w:i w:val="0"/>
        </w:rPr>
        <w:t>Also tested</w:t>
      </w:r>
    </w:p>
    <w:p>
      <w:pPr>
        <w:pStyle w:val="ListBullet"/>
        <w:spacing w:after="40"/>
      </w:pPr>
      <w:r>
        <w:rPr>
          <w:b/>
          <w:i w:val="0"/>
          <w:sz w:val="20"/>
        </w:rPr>
        <w:t>ACE inhibitors in left ventricular dysfunction.</w:t>
      </w:r>
      <w:r>
        <w:rPr>
          <w:b w:val="0"/>
          <w:i w:val="0"/>
          <w:sz w:val="20"/>
        </w:rPr>
        <w:t xml:space="preserve"> Give to all patients unless contraindicated. They reduce remodeling, afterload and preload, delay progression of heart failure, and reduce myocardial infarction and hospitalization.</w:t>
      </w:r>
    </w:p>
    <w:p>
      <w:pPr>
        <w:pStyle w:val="ListBullet"/>
        <w:spacing w:after="40"/>
      </w:pPr>
      <w:r>
        <w:rPr>
          <w:b/>
          <w:i w:val="0"/>
          <w:sz w:val="20"/>
        </w:rPr>
        <w:t>ACE inhibitor dry cough.</w:t>
      </w:r>
      <w:r>
        <w:rPr>
          <w:b w:val="0"/>
          <w:i w:val="0"/>
          <w:sz w:val="20"/>
        </w:rPr>
        <w:t xml:space="preserve"> It is not related to dose or agent, so lowering the dose will not stop it. It is more frequent in women and may require removing the ACE inhibitor if bothersome.</w:t>
      </w:r>
    </w:p>
    <w:p>
      <w:pPr>
        <w:pStyle w:val="ListBullet"/>
        <w:spacing w:after="40"/>
      </w:pPr>
      <w:r>
        <w:rPr>
          <w:b/>
          <w:i w:val="0"/>
          <w:sz w:val="20"/>
        </w:rPr>
        <w:t>ACE inhibitors and bradykinin.</w:t>
      </w:r>
      <w:r>
        <w:rPr>
          <w:b w:val="0"/>
          <w:i w:val="0"/>
          <w:sz w:val="20"/>
        </w:rPr>
        <w:t xml:space="preserve"> The enzyme that makes angiotensin II also inactivates bradykinin, so blocking it slows bradykinin breakdown and bradykinin accumulates, the root of both the dry cough and angioedema.</w:t>
      </w:r>
    </w:p>
    <w:p>
      <w:pPr>
        <w:pStyle w:val="ListBullet"/>
        <w:spacing w:after="40"/>
      </w:pPr>
      <w:r>
        <w:rPr>
          <w:b/>
          <w:i w:val="0"/>
          <w:sz w:val="20"/>
        </w:rPr>
        <w:t>ACE inhibitors in pregnancy.</w:t>
      </w:r>
      <w:r>
        <w:rPr>
          <w:b w:val="0"/>
          <w:i w:val="0"/>
          <w:sz w:val="20"/>
        </w:rPr>
        <w:t xml:space="preserve"> They cause fetal morbidity and mortality, including birth defects and fetal death, and are contraindicated in the second and third trimesters.</w:t>
      </w:r>
    </w:p>
    <w:p>
      <w:pPr>
        <w:pStyle w:val="ListBullet"/>
        <w:spacing w:after="40"/>
      </w:pPr>
      <w:r>
        <w:rPr>
          <w:b/>
          <w:i w:val="0"/>
          <w:sz w:val="20"/>
        </w:rPr>
        <w:t>ACE inhibitors in renal disease.</w:t>
      </w:r>
      <w:r>
        <w:rPr>
          <w:b w:val="0"/>
          <w:i w:val="0"/>
          <w:sz w:val="20"/>
        </w:rPr>
        <w:t xml:space="preserve"> Start with a low dose, increased slowly, because glomerular filtration can fall dramatically where renal blood flow depends on angiotensin II.</w:t>
      </w:r>
    </w:p>
    <w:p>
      <w:pPr>
        <w:pStyle w:val="ListBullet"/>
        <w:spacing w:after="40"/>
      </w:pPr>
      <w:r>
        <w:rPr>
          <w:b/>
          <w:i w:val="0"/>
          <w:sz w:val="20"/>
        </w:rPr>
        <w:t>Ramipril class.</w:t>
      </w:r>
      <w:r>
        <w:rPr>
          <w:b w:val="0"/>
          <w:i w:val="0"/>
          <w:sz w:val="20"/>
        </w:rPr>
        <w:t xml:space="preserve"> Ramipril is an ACE (angiotensin-converting enzyme) inhibitor; the -pril suffix marks the class, which also includes lisinopril, enalapril, benazepril and quinapril.</w:t>
      </w:r>
    </w:p>
    <w:p>
      <w:pPr>
        <w:pStyle w:val="ListBullet"/>
        <w:spacing w:after="40"/>
      </w:pPr>
      <w:r>
        <w:rPr>
          <w:b/>
          <w:i w:val="0"/>
          <w:sz w:val="20"/>
        </w:rPr>
        <w:t>Renin release and renal perfusion.</w:t>
      </w:r>
      <w:r>
        <w:rPr>
          <w:b w:val="0"/>
          <w:i w:val="0"/>
          <w:sz w:val="20"/>
        </w:rPr>
        <w:t xml:space="preserve"> Renin release increases when renal perfusion falls: the renal baroreceptor responds to stretch of the afferent arteriole, so less perfusion means more renin. Sympathetic activity at beta-1 receptors raises it too.</w:t>
      </w:r>
    </w:p>
    <w:p>
      <w:pPr>
        <w:pStyle w:val="Heading2"/>
        <w:spacing w:before="200" w:after="100"/>
      </w:pPr>
      <w:r>
        <w:rPr>
          <w:rFonts w:ascii="Georgia" w:hAnsi="Georgia"/>
          <w:color w:val="6B3524"/>
        </w:rPr>
        <w:t>3.3 · Objectives 1–8 — Angiotensin receptor blockers</w:t>
      </w:r>
    </w:p>
    <w:p>
      <w:pPr>
        <w:spacing w:after="120"/>
      </w:pPr>
      <w:r>
        <w:rPr>
          <w:b/>
          <w:i w:val="0"/>
        </w:rPr>
        <w:t>Agents (-sartan):</w:t>
      </w:r>
      <w:r>
        <w:rPr>
          <w:b w:val="0"/>
          <w:i w:val="0"/>
        </w:rPr>
        <w:t xml:space="preserve"> candesartan, olmesartan, losartan, azilsartan, eprosartan, irbesartan, telmisartan, valsartan. </w:t>
      </w:r>
      <w:r>
        <w:rPr>
          <w:b/>
          <w:i w:val="0"/>
        </w:rPr>
        <w:t>Why they exist:</w:t>
      </w:r>
      <w:r>
        <w:rPr>
          <w:b w:val="0"/>
          <w:i w:val="0"/>
        </w:rPr>
        <w:t xml:space="preserve"> ACE is not the only enzyme that makes angiotensin II — trypsin, cathepsin and chymase do too — so an ACE inhibitor never removes it completely. </w:t>
      </w:r>
      <w:r>
        <w:rPr>
          <w:b/>
          <w:i w:val="0"/>
        </w:rPr>
        <w:t>Mechanism:</w:t>
      </w:r>
      <w:r>
        <w:rPr>
          <w:b w:val="0"/>
          <w:i w:val="0"/>
        </w:rPr>
        <w:t xml:space="preserve"> high-affinity, slowly dissociating, sustained blockade of the </w:t>
      </w:r>
      <w:r>
        <w:rPr>
          <w:b/>
          <w:i w:val="0"/>
        </w:rPr>
        <w:t>AT1 receptor</w:t>
      </w:r>
      <w:r>
        <w:rPr>
          <w:b w:val="0"/>
          <w:i w:val="0"/>
        </w:rPr>
        <w:t>, giving vasodilation, renal vasodilation, less aldosterone, less sodium reabsorption and less norepinephrine release.</w:t>
      </w:r>
    </w:p>
    <w:p>
      <w:pPr>
        <w:spacing w:after="120"/>
      </w:pPr>
      <w:r>
        <w:rPr>
          <w:b/>
          <w:i w:val="0"/>
        </w:rPr>
        <w:t>Indications:</w:t>
      </w:r>
      <w:r>
        <w:rPr>
          <w:b w:val="0"/>
          <w:i w:val="0"/>
        </w:rPr>
        <w:t xml:space="preserve"> hypertension; </w:t>
      </w:r>
      <w:r>
        <w:rPr>
          <w:b/>
          <w:i w:val="0"/>
        </w:rPr>
        <w:t>left ventricular dysfunction when an ACE inhibitor cannot be tolerated</w:t>
      </w:r>
      <w:r>
        <w:rPr>
          <w:b w:val="0"/>
          <w:i w:val="0"/>
        </w:rPr>
        <w:t xml:space="preserve">; diabetic nephropathy. AT1 receptors are saturated at starting doses, so raising the dose changes blood pressure little; </w:t>
      </w:r>
      <w:r>
        <w:rPr>
          <w:b/>
          <w:i w:val="0"/>
        </w:rPr>
        <w:t>adding a diuretic increases the effect</w:t>
      </w:r>
      <w:r>
        <w:rPr>
          <w:b w:val="0"/>
          <w:i w:val="0"/>
        </w:rPr>
        <w:t>, most come as combinations, and a diuretic helps in salt-sensitive hypertension, where they are less effective alone. In heart failure, start low and titrate up.</w:t>
      </w:r>
    </w:p>
    <w:p>
      <w:pPr>
        <w:spacing w:after="120"/>
      </w:pPr>
      <w:r>
        <w:rPr>
          <w:b/>
          <w:i w:val="0"/>
        </w:rPr>
        <w:t>Adverse effects</w:t>
      </w:r>
      <w:r>
        <w:rPr>
          <w:b w:val="0"/>
          <w:i w:val="0"/>
        </w:rPr>
        <w:t xml:space="preserve"> are the ACE inhibitor list minus bradykinin: </w:t>
      </w:r>
      <w:r>
        <w:rPr>
          <w:b w:val="0"/>
          <w:i w:val="0"/>
          <w:highlight w:val="yellow"/>
        </w:rPr>
        <w:t>hyperkalemia — renal disease or K+ sparing diuretics</w:t>
      </w:r>
      <w:r>
        <w:rPr>
          <w:b w:val="0"/>
          <w:i w:val="0"/>
        </w:rPr>
        <w:t>; first-dose hypotension; impaired renal function; and fetal morbidity and mortality — not given in the 2nd and 3rd trimesters.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B3524"/>
                </w:tcPr>
                <w:p>
                  <w:pPr>
                    <w:spacing w:after="40"/>
                  </w:pPr>
                  <w:r>
                    <w:rPr>
                      <w:b/>
                      <w:color w:val="FFFFFF"/>
                      <w:sz w:val="18"/>
                    </w:rPr>
                  </w:r>
                </w:p>
              </w:tc>
              <w:tc>
                <w:tcPr>
                  <w:tcW w:type="dxa" w:w="4848"/>
                  <w:shd w:val="clear" w:color="auto" w:fill="6B3524"/>
                </w:tcPr>
                <w:p>
                  <w:pPr>
                    <w:spacing w:after="40"/>
                  </w:pPr>
                  <w:r>
                    <w:rPr>
                      <w:b/>
                      <w:color w:val="FFFFFF"/>
                      <w:sz w:val="18"/>
                    </w:rPr>
                  </w:r>
                  <w:r>
                    <w:rPr>
                      <w:b/>
                      <w:i w:val="0"/>
                      <w:color w:val="FFFFFF"/>
                      <w:sz w:val="18"/>
                    </w:rPr>
                    <w:t>ACE inhibitor</w:t>
                  </w:r>
                </w:p>
              </w:tc>
              <w:tc>
                <w:tcPr>
                  <w:tcW w:type="dxa" w:w="4848"/>
                  <w:shd w:val="clear" w:color="auto" w:fill="6B3524"/>
                </w:tcPr>
                <w:p>
                  <w:pPr>
                    <w:spacing w:after="40"/>
                  </w:pPr>
                  <w:r>
                    <w:rPr>
                      <w:b/>
                      <w:color w:val="FFFFFF"/>
                      <w:sz w:val="18"/>
                    </w:rPr>
                  </w:r>
                  <w:r>
                    <w:rPr>
                      <w:b/>
                      <w:i w:val="0"/>
                      <w:color w:val="FFFFFF"/>
                      <w:sz w:val="18"/>
                    </w:rPr>
                    <w:t>Angiotensin receptor blocker</w:t>
                  </w:r>
                </w:p>
              </w:tc>
            </w:tr>
            <w:tr>
              <w:tc>
                <w:tcPr>
                  <w:tcW w:type="dxa" w:w="4848"/>
                </w:tcPr>
                <w:p>
                  <w:pPr>
                    <w:spacing w:after="40"/>
                  </w:pPr>
                  <w:r>
                    <w:rPr>
                      <w:sz w:val="18"/>
                    </w:rPr>
                  </w:r>
                  <w:r>
                    <w:rPr>
                      <w:b w:val="0"/>
                      <w:i w:val="0"/>
                      <w:sz w:val="18"/>
                    </w:rPr>
                    <w:t>Bradykinin</w:t>
                  </w:r>
                </w:p>
              </w:tc>
              <w:tc>
                <w:tcPr>
                  <w:tcW w:type="dxa" w:w="4848"/>
                </w:tcPr>
                <w:p>
                  <w:pPr>
                    <w:spacing w:after="40"/>
                  </w:pPr>
                  <w:r>
                    <w:rPr>
                      <w:sz w:val="18"/>
                    </w:rPr>
                  </w:r>
                  <w:r>
                    <w:rPr>
                      <w:b w:val="0"/>
                      <w:i w:val="0"/>
                      <w:sz w:val="18"/>
                    </w:rPr>
                    <w:t xml:space="preserve">Not broken down → </w:t>
                  </w:r>
                  <w:r>
                    <w:rPr>
                      <w:b/>
                      <w:i w:val="0"/>
                      <w:sz w:val="18"/>
                    </w:rPr>
                    <w:t>cough and angioedema</w:t>
                  </w:r>
                </w:p>
              </w:tc>
              <w:tc>
                <w:tcPr>
                  <w:tcW w:type="dxa" w:w="4848"/>
                </w:tcPr>
                <w:p>
                  <w:pPr>
                    <w:spacing w:after="40"/>
                  </w:pPr>
                  <w:r>
                    <w:rPr>
                      <w:sz w:val="18"/>
                    </w:rPr>
                  </w:r>
                  <w:r>
                    <w:rPr>
                      <w:b w:val="0"/>
                      <w:i w:val="0"/>
                      <w:sz w:val="18"/>
                      <w:highlight w:val="yellow"/>
                    </w:rPr>
                    <w:t>ARB’s don’t inhibit breakdown of bradykinin (disadvantage)</w:t>
                  </w:r>
                </w:p>
              </w:tc>
            </w:tr>
            <w:tr>
              <w:tc>
                <w:tcPr>
                  <w:tcW w:type="dxa" w:w="4848"/>
                </w:tcPr>
                <w:p>
                  <w:pPr>
                    <w:spacing w:after="40"/>
                  </w:pPr>
                  <w:r>
                    <w:rPr>
                      <w:sz w:val="18"/>
                    </w:rPr>
                  </w:r>
                  <w:r>
                    <w:rPr>
                      <w:b w:val="0"/>
                      <w:i w:val="0"/>
                      <w:sz w:val="18"/>
                    </w:rPr>
                    <w:t>Cough</w:t>
                  </w:r>
                </w:p>
              </w:tc>
              <w:tc>
                <w:tcPr>
                  <w:tcW w:type="dxa" w:w="4848"/>
                </w:tcPr>
                <w:p>
                  <w:pPr>
                    <w:spacing w:after="40"/>
                  </w:pPr>
                  <w:r>
                    <w:rPr>
                      <w:sz w:val="18"/>
                    </w:rPr>
                  </w:r>
                  <w:r>
                    <w:rPr>
                      <w:b w:val="0"/>
                      <w:i w:val="0"/>
                      <w:sz w:val="18"/>
                    </w:rPr>
                    <w:t>5 to 15%</w:t>
                  </w:r>
                </w:p>
              </w:tc>
              <w:tc>
                <w:tcPr>
                  <w:tcW w:type="dxa" w:w="4848"/>
                </w:tcPr>
                <w:p>
                  <w:pPr>
                    <w:spacing w:after="40"/>
                  </w:pPr>
                  <w:r>
                    <w:rPr>
                      <w:sz w:val="18"/>
                    </w:rPr>
                  </w:r>
                  <w:r>
                    <w:rPr>
                      <w:b w:val="0"/>
                      <w:i w:val="0"/>
                      <w:sz w:val="18"/>
                      <w:highlight w:val="yellow"/>
                    </w:rPr>
                    <w:t>Do not cause cough — don’t affect bradykinin metabolism</w:t>
                  </w:r>
                </w:p>
              </w:tc>
            </w:tr>
            <w:tr>
              <w:tc>
                <w:tcPr>
                  <w:tcW w:type="dxa" w:w="4848"/>
                </w:tcPr>
                <w:p>
                  <w:pPr>
                    <w:spacing w:after="40"/>
                  </w:pPr>
                  <w:r>
                    <w:rPr>
                      <w:sz w:val="18"/>
                    </w:rPr>
                  </w:r>
                  <w:r>
                    <w:rPr>
                      <w:b w:val="0"/>
                      <w:i w:val="0"/>
                      <w:sz w:val="18"/>
                    </w:rPr>
                    <w:t>Angioedema</w:t>
                  </w:r>
                </w:p>
              </w:tc>
              <w:tc>
                <w:tcPr>
                  <w:tcW w:type="dxa" w:w="4848"/>
                </w:tcPr>
                <w:p>
                  <w:pPr>
                    <w:spacing w:after="40"/>
                  </w:pPr>
                  <w:r>
                    <w:rPr>
                      <w:sz w:val="18"/>
                    </w:rPr>
                  </w:r>
                  <w:r>
                    <w:rPr>
                      <w:b w:val="0"/>
                      <w:i w:val="0"/>
                      <w:sz w:val="18"/>
                    </w:rPr>
                    <w:t>Rare but real</w:t>
                  </w:r>
                </w:p>
              </w:tc>
              <w:tc>
                <w:tcPr>
                  <w:tcW w:type="dxa" w:w="4848"/>
                </w:tcPr>
                <w:p>
                  <w:pPr>
                    <w:spacing w:after="40"/>
                  </w:pPr>
                  <w:r>
                    <w:rPr>
                      <w:sz w:val="18"/>
                    </w:rPr>
                  </w:r>
                  <w:r>
                    <w:rPr>
                      <w:b w:val="0"/>
                      <w:i w:val="0"/>
                      <w:sz w:val="18"/>
                      <w:highlight w:val="yellow"/>
                    </w:rPr>
                    <w:t>Lower incidence of angioedema, may switch from ACE inhibitor</w:t>
                  </w:r>
                </w:p>
              </w:tc>
            </w:tr>
            <w:tr>
              <w:tc>
                <w:tcPr>
                  <w:tcW w:type="dxa" w:w="4848"/>
                </w:tcPr>
                <w:p>
                  <w:pPr>
                    <w:spacing w:after="40"/>
                  </w:pPr>
                  <w:r>
                    <w:rPr>
                      <w:sz w:val="18"/>
                    </w:rPr>
                  </w:r>
                  <w:r>
                    <w:rPr>
                      <w:b w:val="0"/>
                      <w:i w:val="0"/>
                      <w:sz w:val="18"/>
                    </w:rPr>
                    <w:t>Angiotensin II at AT1</w:t>
                  </w:r>
                </w:p>
              </w:tc>
              <w:tc>
                <w:tcPr>
                  <w:tcW w:type="dxa" w:w="4848"/>
                </w:tcPr>
                <w:p>
                  <w:pPr>
                    <w:spacing w:after="40"/>
                  </w:pPr>
                  <w:r>
                    <w:rPr>
                      <w:sz w:val="18"/>
                    </w:rPr>
                  </w:r>
                  <w:r>
                    <w:rPr>
                      <w:b w:val="0"/>
                      <w:i w:val="0"/>
                      <w:sz w:val="18"/>
                    </w:rPr>
                    <w:t>Reduced, not abolished</w:t>
                  </w:r>
                </w:p>
              </w:tc>
              <w:tc>
                <w:tcPr>
                  <w:tcW w:type="dxa" w:w="4848"/>
                </w:tcPr>
                <w:p>
                  <w:pPr>
                    <w:spacing w:after="40"/>
                  </w:pPr>
                  <w:r>
                    <w:rPr>
                      <w:sz w:val="18"/>
                    </w:rPr>
                  </w:r>
                  <w:r>
                    <w:rPr>
                      <w:b w:val="0"/>
                      <w:i w:val="0"/>
                      <w:sz w:val="18"/>
                    </w:rPr>
                    <w:t>Better at reducing its effect at AT1</w:t>
                  </w:r>
                </w:p>
              </w:tc>
            </w:tr>
            <w:tr>
              <w:tc>
                <w:tcPr>
                  <w:tcW w:type="dxa" w:w="4848"/>
                </w:tcPr>
                <w:p>
                  <w:pPr>
                    <w:spacing w:after="40"/>
                  </w:pPr>
                  <w:r>
                    <w:rPr>
                      <w:sz w:val="18"/>
                    </w:rPr>
                  </w:r>
                  <w:r>
                    <w:rPr>
                      <w:b w:val="0"/>
                      <w:i w:val="0"/>
                      <w:sz w:val="18"/>
                    </w:rPr>
                    <w:t>Hyperkalemia, pregnancy</w:t>
                  </w:r>
                </w:p>
              </w:tc>
              <w:tc>
                <w:tcPr>
                  <w:tcW w:type="dxa" w:w="9696"/>
                  <w:gridSpan w:val="2"/>
                </w:tcPr>
                <w:p>
                  <w:pPr>
                    <w:spacing w:after="40"/>
                  </w:pPr>
                  <w:r/>
                </w:p>
              </w:tc>
            </w:tr>
          </w:tbl>
          <w:p/>
          <w:p>
            <w:pPr>
              <w:spacing w:after="80"/>
            </w:pPr>
          </w:p>
          <w:p>
            <w:pPr>
              <w:spacing w:after="120"/>
            </w:pPr>
            <w:r>
              <w:rPr>
                <w:b w:val="0"/>
                <w:i/>
              </w:rPr>
              <w:t>“Those are the key things and again great for test questions.”</w:t>
            </w:r>
            <w:r>
              <w:rPr>
                <w:b w:val="0"/>
                <w:i w:val="0"/>
              </w:rPr>
              <w:t xml:space="preserve"> The classic stem: a patient on an ACE inhibitor develops a dry cough — switch to an angiotensin receptor blocker.</w:t>
            </w:r>
          </w:p>
        </w:tc>
      </w:tr>
    </w:tbl>
    <w:p>
      <w:pPr>
        <w:spacing w:after="80"/>
      </w:pPr>
    </w:p>
    <w:p>
      <w:pPr>
        <w:spacing w:after="120"/>
      </w:pPr>
      <w:r>
        <w:rPr>
          <w:b w:val="0"/>
          <w:i w:val="0"/>
        </w:rPr>
        <w:t>Also tested</w:t>
      </w:r>
    </w:p>
    <w:p>
      <w:pPr>
        <w:pStyle w:val="ListBullet"/>
        <w:spacing w:after="40"/>
      </w:pPr>
      <w:r>
        <w:rPr>
          <w:b/>
          <w:i w:val="0"/>
          <w:sz w:val="20"/>
        </w:rPr>
        <w:t>Angiotensin receptor blockers in pregnancy.</w:t>
      </w:r>
      <w:r>
        <w:rPr>
          <w:b w:val="0"/>
          <w:i w:val="0"/>
          <w:sz w:val="20"/>
        </w:rPr>
        <w:t xml:space="preserve"> They share the fetal morbidity and mortality of ACE inhibitors and are not given in the second and third trimesters, so they are not an acceptable substitute then.</w:t>
      </w:r>
    </w:p>
    <w:p>
      <w:pPr>
        <w:pStyle w:val="ListBullet"/>
        <w:spacing w:after="40"/>
      </w:pPr>
      <w:r>
        <w:rPr>
          <w:b/>
          <w:i w:val="0"/>
          <w:sz w:val="20"/>
        </w:rPr>
        <w:t>Angiotensin receptor blocker mechanism.</w:t>
      </w:r>
      <w:r>
        <w:rPr>
          <w:b w:val="0"/>
          <w:i w:val="0"/>
          <w:sz w:val="20"/>
        </w:rPr>
        <w:t xml:space="preserve"> They lower blood pressure by blocking AT1 (angiotensin II type 1) receptors, binding with high affinity and dissociating slowly for sustained blockade: vasodilation, less aldosterone and less sodium reabsorption.</w:t>
      </w:r>
    </w:p>
    <w:p>
      <w:pPr>
        <w:pStyle w:val="ListBullet"/>
        <w:spacing w:after="40"/>
      </w:pPr>
      <w:r>
        <w:rPr>
          <w:b/>
          <w:i w:val="0"/>
          <w:sz w:val="20"/>
        </w:rPr>
        <w:t>Angiotensin II despite ACE inhibition.</w:t>
      </w:r>
      <w:r>
        <w:rPr>
          <w:b w:val="0"/>
          <w:i w:val="0"/>
          <w:sz w:val="20"/>
        </w:rPr>
        <w:t xml:space="preserve"> Angiotensin II can still be produced by other enzymes such as chymase (also trypsin and cathepsin), a limit of ACE (angiotensin-converting enzyme) inhibitors that angiotensin receptor blockers get around.</w:t>
      </w:r>
    </w:p>
    <w:p>
      <w:pPr>
        <w:pStyle w:val="ListBullet"/>
        <w:spacing w:after="40"/>
      </w:pPr>
      <w:r>
        <w:rPr>
          <w:b/>
          <w:i w:val="0"/>
          <w:sz w:val="20"/>
        </w:rPr>
        <w:t>Losartan and hyperkalemia.</w:t>
      </w:r>
      <w:r>
        <w:rPr>
          <w:b w:val="0"/>
          <w:i w:val="0"/>
          <w:sz w:val="20"/>
        </w:rPr>
        <w:t xml:space="preserve"> Hyperkalemia with angiotensin receptor blockers is linked to renal disease and potassium-sparing diuretics, both of which keep potassium in, so adding a potassium-sparing diuretic to losartan most increases the risk.</w:t>
      </w:r>
    </w:p>
    <w:p>
      <w:pPr>
        <w:pStyle w:val="Heading2"/>
        <w:spacing w:before="200" w:after="100"/>
      </w:pPr>
      <w:r>
        <w:rPr>
          <w:rFonts w:ascii="Georgia" w:hAnsi="Georgia"/>
          <w:color w:val="6B3524"/>
        </w:rPr>
        <w:t>3.4 · Objectives 1–8 — Calcium channel blockers</w:t>
      </w:r>
    </w:p>
    <w:p>
      <w:pPr>
        <w:spacing w:after="120"/>
      </w:pPr>
      <w:r>
        <w:rPr>
          <w:b w:val="0"/>
          <w:i w:val="0"/>
        </w:rPr>
        <w:t xml:space="preserve">All calcium channel blockers block the </w:t>
      </w:r>
      <w:r>
        <w:rPr>
          <w:b/>
          <w:i w:val="0"/>
        </w:rPr>
        <w:t>L-type calcium channel</w:t>
      </w:r>
      <w:r>
        <w:rPr>
          <w:b w:val="0"/>
          <w:i w:val="0"/>
        </w:rPr>
        <w:t xml:space="preserve">, found in vascular smooth muscle, cardiac myocytes and the sinoatrial and atrioventricular nodes. Two facts shape the whole class. At therapeutic doses they </w:t>
      </w:r>
      <w:r>
        <w:rPr>
          <w:b/>
          <w:i w:val="0"/>
        </w:rPr>
        <w:t>do not reduce venous tone</w:t>
      </w:r>
      <w:r>
        <w:rPr>
          <w:b w:val="0"/>
          <w:i w:val="0"/>
        </w:rPr>
        <w:t xml:space="preserve">, so they lower afterload without changing preload. And because arteries depend on calcium from outside the cell while myocytes also draw on the sarcoplasmic reticulum, </w:t>
      </w:r>
      <w:r>
        <w:rPr>
          <w:b/>
          <w:i w:val="0"/>
        </w:rPr>
        <w:t>arteries are 3 to 10 times more sensitive</w:t>
      </w:r>
      <w:r>
        <w:rPr>
          <w:b w:val="0"/>
          <w:i w:val="0"/>
        </w:rPr>
        <w:t xml:space="preserve"> to these drugs than the myocardium. Class uses: angina, hypertension, supraventricular arrhythmias, diastolic heart failure, cerebral ischemia and migraine prophylaxis.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Non-DHP reduce both slow inward current AND decrease rate of recovery → slow AV conduction. DHP reduce slow inward current without affecting recovery → no effect on AV conduction.</w:t>
            </w:r>
            <w:r>
              <w:rPr>
                <w:b w:val="0"/>
                <w:i w:val="0"/>
              </w:rPr>
              <w:t xml:space="preserve"> (DHP = dihydropyridine; AV = atrioventricular.)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6B3524"/>
                </w:tcPr>
                <w:p>
                  <w:pPr>
                    <w:spacing w:after="40"/>
                  </w:pPr>
                  <w:r>
                    <w:rPr>
                      <w:b/>
                      <w:color w:val="FFFFFF"/>
                      <w:sz w:val="18"/>
                    </w:rPr>
                  </w:r>
                </w:p>
              </w:tc>
              <w:tc>
                <w:tcPr>
                  <w:tcW w:type="dxa" w:w="3636"/>
                  <w:shd w:val="clear" w:color="auto" w:fill="6B3524"/>
                </w:tcPr>
                <w:p>
                  <w:pPr>
                    <w:spacing w:after="40"/>
                  </w:pPr>
                  <w:r>
                    <w:rPr>
                      <w:b/>
                      <w:color w:val="FFFFFF"/>
                      <w:sz w:val="18"/>
                    </w:rPr>
                  </w:r>
                  <w:r>
                    <w:rPr>
                      <w:b/>
                      <w:i w:val="0"/>
                      <w:color w:val="FFFFFF"/>
                      <w:sz w:val="18"/>
                    </w:rPr>
                    <w:t>Diltiazem</w:t>
                  </w:r>
                </w:p>
              </w:tc>
              <w:tc>
                <w:tcPr>
                  <w:tcW w:type="dxa" w:w="3636"/>
                  <w:shd w:val="clear" w:color="auto" w:fill="6B3524"/>
                </w:tcPr>
                <w:p>
                  <w:pPr>
                    <w:spacing w:after="40"/>
                  </w:pPr>
                  <w:r>
                    <w:rPr>
                      <w:b/>
                      <w:color w:val="FFFFFF"/>
                      <w:sz w:val="18"/>
                    </w:rPr>
                  </w:r>
                  <w:r>
                    <w:rPr>
                      <w:b/>
                      <w:i w:val="0"/>
                      <w:color w:val="FFFFFF"/>
                      <w:sz w:val="18"/>
                    </w:rPr>
                    <w:t>Verapamil</w:t>
                  </w:r>
                </w:p>
              </w:tc>
              <w:tc>
                <w:tcPr>
                  <w:tcW w:type="dxa" w:w="3636"/>
                  <w:shd w:val="clear" w:color="auto" w:fill="6B3524"/>
                </w:tcPr>
                <w:p>
                  <w:pPr>
                    <w:spacing w:after="40"/>
                  </w:pPr>
                  <w:r>
                    <w:rPr>
                      <w:b/>
                      <w:color w:val="FFFFFF"/>
                      <w:sz w:val="18"/>
                    </w:rPr>
                  </w:r>
                  <w:r>
                    <w:rPr>
                      <w:b/>
                      <w:i w:val="0"/>
                      <w:color w:val="FFFFFF"/>
                      <w:sz w:val="18"/>
                    </w:rPr>
                    <w:t>Dihydropyridines</w:t>
                  </w:r>
                </w:p>
              </w:tc>
            </w:tr>
            <w:tr>
              <w:tc>
                <w:tcPr>
                  <w:tcW w:type="dxa" w:w="3636"/>
                </w:tcPr>
                <w:p>
                  <w:pPr>
                    <w:spacing w:after="40"/>
                  </w:pPr>
                  <w:r>
                    <w:rPr>
                      <w:sz w:val="18"/>
                    </w:rPr>
                  </w:r>
                  <w:r>
                    <w:rPr>
                      <w:b w:val="0"/>
                      <w:i w:val="0"/>
                      <w:sz w:val="18"/>
                    </w:rPr>
                    <w:t>Vasodilation</w:t>
                  </w:r>
                </w:p>
              </w:tc>
              <w:tc>
                <w:tcPr>
                  <w:tcW w:type="dxa" w:w="3636"/>
                </w:tcPr>
                <w:p>
                  <w:pPr>
                    <w:spacing w:after="40"/>
                  </w:pPr>
                  <w:r>
                    <w:rPr>
                      <w:sz w:val="18"/>
                    </w:rPr>
                  </w:r>
                  <w:r>
                    <w:rPr>
                      <w:b w:val="0"/>
                      <w:i w:val="0"/>
                      <w:sz w:val="18"/>
                    </w:rPr>
                    <w:t>Strong</w:t>
                  </w:r>
                </w:p>
              </w:tc>
              <w:tc>
                <w:tcPr>
                  <w:tcW w:type="dxa" w:w="3636"/>
                </w:tcPr>
                <w:p>
                  <w:pPr>
                    <w:spacing w:after="40"/>
                  </w:pPr>
                  <w:r>
                    <w:rPr>
                      <w:sz w:val="18"/>
                    </w:rPr>
                  </w:r>
                  <w:r>
                    <w:rPr>
                      <w:b w:val="0"/>
                      <w:i w:val="0"/>
                      <w:sz w:val="18"/>
                    </w:rPr>
                    <w:t>Stronger</w:t>
                  </w:r>
                </w:p>
              </w:tc>
              <w:tc>
                <w:tcPr>
                  <w:tcW w:type="dxa" w:w="3636"/>
                </w:tcPr>
                <w:p>
                  <w:pPr>
                    <w:spacing w:after="40"/>
                  </w:pPr>
                  <w:r>
                    <w:rPr>
                      <w:sz w:val="18"/>
                    </w:rPr>
                  </w:r>
                  <w:r>
                    <w:rPr>
                      <w:b/>
                      <w:i w:val="0"/>
                      <w:sz w:val="18"/>
                    </w:rPr>
                    <w:t>Strongest</w:t>
                  </w:r>
                </w:p>
              </w:tc>
            </w:tr>
            <w:tr>
              <w:tc>
                <w:tcPr>
                  <w:tcW w:type="dxa" w:w="3636"/>
                </w:tcPr>
                <w:p>
                  <w:pPr>
                    <w:spacing w:after="40"/>
                  </w:pPr>
                  <w:r>
                    <w:rPr>
                      <w:sz w:val="18"/>
                    </w:rPr>
                  </w:r>
                  <w:r>
                    <w:rPr>
                      <w:b w:val="0"/>
                      <w:i w:val="0"/>
                      <w:sz w:val="18"/>
                    </w:rPr>
                    <w:t>Suppresses contractility</w:t>
                  </w:r>
                </w:p>
              </w:tc>
              <w:tc>
                <w:tcPr>
                  <w:tcW w:type="dxa" w:w="3636"/>
                </w:tcPr>
                <w:p>
                  <w:pPr>
                    <w:spacing w:after="40"/>
                  </w:pPr>
                  <w:r>
                    <w:rPr>
                      <w:sz w:val="18"/>
                    </w:rPr>
                  </w:r>
                  <w:r>
                    <w:rPr>
                      <w:b w:val="0"/>
                      <w:i w:val="0"/>
                      <w:sz w:val="18"/>
                    </w:rPr>
                    <w:t>Moderate</w:t>
                  </w:r>
                </w:p>
              </w:tc>
              <w:tc>
                <w:tcPr>
                  <w:tcW w:type="dxa" w:w="3636"/>
                </w:tcPr>
                <w:p>
                  <w:pPr>
                    <w:spacing w:after="40"/>
                  </w:pPr>
                  <w:r>
                    <w:rPr>
                      <w:sz w:val="18"/>
                    </w:rPr>
                  </w:r>
                  <w:r>
                    <w:rPr>
                      <w:b/>
                      <w:i w:val="0"/>
                      <w:sz w:val="18"/>
                    </w:rPr>
                    <w:t>Most</w:t>
                  </w:r>
                </w:p>
              </w:tc>
              <w:tc>
                <w:tcPr>
                  <w:tcW w:type="dxa" w:w="3636"/>
                </w:tcPr>
                <w:p>
                  <w:pPr>
                    <w:spacing w:after="40"/>
                  </w:pPr>
                  <w:r>
                    <w:rPr>
                      <w:sz w:val="18"/>
                    </w:rPr>
                  </w:r>
                  <w:r>
                    <w:rPr>
                      <w:b w:val="0"/>
                      <w:i w:val="0"/>
                      <w:sz w:val="18"/>
                    </w:rPr>
                    <w:t>None to minimal</w:t>
                  </w:r>
                </w:p>
              </w:tc>
            </w:tr>
            <w:tr>
              <w:tc>
                <w:tcPr>
                  <w:tcW w:type="dxa" w:w="3636"/>
                </w:tcPr>
                <w:p>
                  <w:pPr>
                    <w:spacing w:after="40"/>
                  </w:pPr>
                  <w:r>
                    <w:rPr>
                      <w:sz w:val="18"/>
                    </w:rPr>
                  </w:r>
                  <w:r>
                    <w:rPr>
                      <w:b w:val="0"/>
                      <w:i w:val="0"/>
                      <w:sz w:val="18"/>
                    </w:rPr>
                    <w:t>Suppresses sinoatrial automaticity</w:t>
                  </w:r>
                </w:p>
              </w:tc>
              <w:tc>
                <w:tcPr>
                  <w:tcW w:type="dxa" w:w="3636"/>
                </w:tcPr>
                <w:p>
                  <w:pPr>
                    <w:spacing w:after="40"/>
                  </w:pPr>
                  <w:r>
                    <w:rPr>
                      <w:sz w:val="18"/>
                    </w:rPr>
                  </w:r>
                  <w:r>
                    <w:rPr>
                      <w:b/>
                      <w:i w:val="0"/>
                      <w:sz w:val="18"/>
                    </w:rPr>
                    <w:t>Marked</w:t>
                  </w:r>
                </w:p>
              </w:tc>
              <w:tc>
                <w:tcPr>
                  <w:tcW w:type="dxa" w:w="3636"/>
                </w:tcPr>
                <w:p>
                  <w:pPr>
                    <w:spacing w:after="40"/>
                  </w:pPr>
                  <w:r>
                    <w:rPr>
                      <w:sz w:val="18"/>
                    </w:rPr>
                  </w:r>
                  <w:r>
                    <w:rPr>
                      <w:b/>
                      <w:i w:val="0"/>
                      <w:sz w:val="18"/>
                    </w:rPr>
                    <w:t>Marked</w:t>
                  </w:r>
                </w:p>
              </w:tc>
              <w:tc>
                <w:tcPr>
                  <w:tcW w:type="dxa" w:w="3636"/>
                </w:tcPr>
                <w:p>
                  <w:pPr>
                    <w:spacing w:after="40"/>
                  </w:pPr>
                  <w:r>
                    <w:rPr>
                      <w:sz w:val="18"/>
                    </w:rPr>
                  </w:r>
                  <w:r>
                    <w:rPr>
                      <w:b w:val="0"/>
                      <w:i w:val="0"/>
                      <w:sz w:val="18"/>
                    </w:rPr>
                    <w:t>Minimal</w:t>
                  </w:r>
                </w:p>
              </w:tc>
            </w:tr>
            <w:tr>
              <w:tc>
                <w:tcPr>
                  <w:tcW w:type="dxa" w:w="3636"/>
                </w:tcPr>
                <w:p>
                  <w:pPr>
                    <w:spacing w:after="40"/>
                  </w:pPr>
                  <w:r>
                    <w:rPr>
                      <w:sz w:val="18"/>
                    </w:rPr>
                  </w:r>
                  <w:r>
                    <w:rPr>
                      <w:b w:val="0"/>
                      <w:i w:val="0"/>
                      <w:sz w:val="18"/>
                    </w:rPr>
                    <w:t>Slows atrioventricular conduction</w:t>
                  </w:r>
                </w:p>
              </w:tc>
              <w:tc>
                <w:tcPr>
                  <w:tcW w:type="dxa" w:w="3636"/>
                </w:tcPr>
                <w:p>
                  <w:pPr>
                    <w:spacing w:after="40"/>
                  </w:pPr>
                  <w:r>
                    <w:rPr>
                      <w:sz w:val="18"/>
                    </w:rPr>
                  </w:r>
                  <w:r>
                    <w:rPr>
                      <w:b/>
                      <w:i w:val="0"/>
                      <w:sz w:val="18"/>
                    </w:rPr>
                    <w:t>Marked</w:t>
                  </w:r>
                </w:p>
              </w:tc>
              <w:tc>
                <w:tcPr>
                  <w:tcW w:type="dxa" w:w="3636"/>
                </w:tcPr>
                <w:p>
                  <w:pPr>
                    <w:spacing w:after="40"/>
                  </w:pPr>
                  <w:r>
                    <w:rPr>
                      <w:sz w:val="18"/>
                    </w:rPr>
                  </w:r>
                  <w:r>
                    <w:rPr>
                      <w:b/>
                      <w:i w:val="0"/>
                      <w:sz w:val="18"/>
                    </w:rPr>
                    <w:t>Marked</w:t>
                  </w:r>
                </w:p>
              </w:tc>
              <w:tc>
                <w:tcPr>
                  <w:tcW w:type="dxa" w:w="3636"/>
                </w:tcPr>
                <w:p>
                  <w:pPr>
                    <w:spacing w:after="40"/>
                  </w:pPr>
                  <w:r>
                    <w:rPr>
                      <w:sz w:val="18"/>
                    </w:rPr>
                  </w:r>
                  <w:r>
                    <w:rPr>
                      <w:b w:val="0"/>
                      <w:i w:val="0"/>
                      <w:sz w:val="18"/>
                    </w:rPr>
                    <w:t>None</w:t>
                  </w:r>
                </w:p>
              </w:tc>
            </w:tr>
          </w:tbl>
          <w:p/>
          <w:p>
            <w:pPr>
              <w:spacing w:after="80"/>
            </w:pPr>
          </w:p>
          <w:p>
            <w:pPr>
              <w:spacing w:after="120"/>
            </w:pPr>
            <w:r>
              <w:rPr>
                <w:b w:val="0"/>
                <w:i w:val="0"/>
              </w:rPr>
              <w:t xml:space="preserve">Learn the </w:t>
            </w:r>
            <w:r>
              <w:rPr>
                <w:b/>
                <w:i w:val="0"/>
              </w:rPr>
              <w:t>pattern</w:t>
            </w:r>
            <w:r>
              <w:rPr>
                <w:b w:val="0"/>
                <w:i w:val="0"/>
              </w:rPr>
              <w:t xml:space="preserve">, not the plus counts he waved away: </w:t>
            </w:r>
            <w:r>
              <w:rPr>
                <w:b/>
                <w:i w:val="0"/>
              </w:rPr>
              <w:t>the non-dihydropyridines work on the heart; the dihydropyridines work on the vessels.</w:t>
            </w:r>
            <w:r>
              <w:rPr>
                <w:b w:val="0"/>
                <w:i/>
              </w:rPr>
              <w:t>“Which one of these would you use to reduce heart rate — it’s either diltiazem or verapamil.”</w:t>
            </w:r>
            <w:r>
              <w:rPr>
                <w:b w:val="0"/>
                <w:i w:val="0"/>
              </w:rPr>
              <w:t xml:space="preserve"> Indications, side effects and contraindications all follow from this one table.</w:t>
            </w:r>
          </w:p>
        </w:tc>
      </w:tr>
    </w:tbl>
    <w:p>
      <w:pPr>
        <w:spacing w:after="80"/>
      </w:pPr>
    </w:p>
    <w:p>
      <w:pPr>
        <w:spacing w:after="120"/>
      </w:pPr>
      <w:r>
        <w:rPr>
          <w:b w:val="0"/>
          <w:i w:val="0"/>
        </w:rPr>
        <w:t>Also tested</w:t>
      </w:r>
    </w:p>
    <w:p>
      <w:pPr>
        <w:pStyle w:val="ListBullet"/>
        <w:spacing w:after="40"/>
      </w:pPr>
      <w:r>
        <w:rPr>
          <w:b/>
          <w:i w:val="0"/>
          <w:sz w:val="20"/>
        </w:rPr>
        <w:t>Clonidine with a beta blocker.</w:t>
      </w:r>
      <w:r>
        <w:rPr>
          <w:b w:val="0"/>
          <w:i w:val="0"/>
          <w:sz w:val="20"/>
        </w:rPr>
        <w:t xml:space="preserve"> Together they lower pressure, but abrupt clonidine withdrawal in this combination produces a dramatic rise in blood pressure.</w:t>
      </w:r>
    </w:p>
    <w:p>
      <w:pPr>
        <w:pStyle w:val="ListBullet"/>
        <w:spacing w:after="40"/>
      </w:pPr>
      <w:r>
        <w:rPr>
          <w:b/>
          <w:i w:val="0"/>
          <w:sz w:val="20"/>
        </w:rPr>
        <w:t>AV conduction and calcium channel blockers.</w:t>
      </w:r>
      <w:r>
        <w:rPr>
          <w:b w:val="0"/>
          <w:i w:val="0"/>
          <w:sz w:val="20"/>
        </w:rPr>
        <w:t xml:space="preserve"> Both classes reduce the slow inward calcium current, but only non-dihydropyridines also decrease the channel's rate of recovery, which slows atrioventricular conduction.</w:t>
      </w:r>
    </w:p>
    <w:p>
      <w:pPr>
        <w:pStyle w:val="ListBullet"/>
        <w:spacing w:after="40"/>
      </w:pPr>
      <w:r>
        <w:rPr>
          <w:b/>
          <w:i w:val="0"/>
          <w:sz w:val="20"/>
        </w:rPr>
        <w:t>Verapamil and digoxin.</w:t>
      </w:r>
      <w:r>
        <w:rPr>
          <w:b w:val="0"/>
          <w:i w:val="0"/>
          <w:sz w:val="20"/>
        </w:rPr>
        <w:t xml:space="preserve"> Non-dihydropyridines inhibit P-glycoprotein, raising digoxin, tacrolimus, cyclosporine and carbamazepine; digoxin also adds a pharmacodynamic interaction.</w:t>
      </w:r>
    </w:p>
    <w:p>
      <w:pPr>
        <w:pStyle w:val="ListBullet"/>
        <w:spacing w:after="40"/>
      </w:pPr>
      <w:r>
        <w:rPr>
          <w:b/>
          <w:i w:val="0"/>
          <w:sz w:val="20"/>
        </w:rPr>
        <w:t>Non-dihydropyridine adverse effects.</w:t>
      </w:r>
      <w:r>
        <w:rPr>
          <w:b w:val="0"/>
          <w:i w:val="0"/>
          <w:sz w:val="20"/>
        </w:rPr>
        <w:t xml:space="preserve"> Raised liver function tests are listed among them, and liver disease is a relative contraindication to diltiazem and verapamil.</w:t>
      </w:r>
    </w:p>
    <w:p>
      <w:pPr>
        <w:pStyle w:val="ListBullet"/>
        <w:spacing w:after="40"/>
      </w:pPr>
      <w:r>
        <w:rPr>
          <w:b/>
          <w:i w:val="0"/>
          <w:sz w:val="20"/>
        </w:rPr>
        <w:t>Calcium channel blockers and load.</w:t>
      </w:r>
      <w:r>
        <w:rPr>
          <w:b w:val="0"/>
          <w:i w:val="0"/>
          <w:sz w:val="20"/>
        </w:rPr>
        <w:t xml:space="preserve"> At therapeutic doses they lower afterload with no change in preload, because they do not reduce venous tone.</w:t>
      </w:r>
    </w:p>
    <w:p>
      <w:pPr>
        <w:pStyle w:val="ListBullet"/>
        <w:spacing w:after="40"/>
      </w:pPr>
      <w:r>
        <w:rPr>
          <w:b/>
          <w:i w:val="0"/>
          <w:sz w:val="20"/>
        </w:rPr>
        <w:t>Verapamil and simvastatin.</w:t>
      </w:r>
      <w:r>
        <w:rPr>
          <w:b w:val="0"/>
          <w:i w:val="0"/>
          <w:sz w:val="20"/>
        </w:rPr>
        <w:t xml:space="preserve"> Verapamil raises simvastatin levels through CYP3A4 inhibition. Non-dihydropyridines inhibit CYP3A4, raising atorvastatin, lovastatin and simvastatin, as well as carbamazepine, propranolol, tacrolimus and cyclosporine.</w:t>
      </w:r>
    </w:p>
    <w:p>
      <w:pPr>
        <w:pStyle w:val="ListBullet"/>
        <w:spacing w:after="40"/>
      </w:pPr>
      <w:r>
        <w:rPr>
          <w:b/>
          <w:i w:val="0"/>
          <w:sz w:val="20"/>
        </w:rPr>
        <w:t>Nimodipine.</w:t>
      </w:r>
      <w:r>
        <w:rPr>
          <w:b w:val="0"/>
          <w:i w:val="0"/>
          <w:sz w:val="20"/>
        </w:rPr>
        <w:t xml:space="preserve"> Nimodipine is the dihydropyridine approved for subarachnoid hemorrhage; the other dihydropyridines are approved for hypertension with or without angina.</w:t>
      </w:r>
    </w:p>
    <w:p>
      <w:pPr>
        <w:pStyle w:val="ListBullet"/>
        <w:spacing w:after="40"/>
      </w:pPr>
      <w:r>
        <w:rPr>
          <w:b/>
          <w:i w:val="0"/>
          <w:sz w:val="20"/>
        </w:rPr>
        <w:t>Calcium channel blocker gynecomastia.</w:t>
      </w:r>
      <w:r>
        <w:rPr>
          <w:b w:val="0"/>
          <w:i w:val="0"/>
          <w:sz w:val="20"/>
        </w:rPr>
        <w:t xml:space="preserve"> Gynecomastia is more likely with nifedipine than with diltiazem, whereas gingival hyperplasia is shared across the class.</w:t>
      </w:r>
    </w:p>
    <w:p>
      <w:pPr>
        <w:pStyle w:val="ListBullet"/>
        <w:spacing w:after="40"/>
      </w:pPr>
      <w:r>
        <w:rPr>
          <w:b/>
          <w:i w:val="0"/>
          <w:sz w:val="20"/>
        </w:rPr>
        <w:t>Diltiazem and tacrolimus.</w:t>
      </w:r>
      <w:r>
        <w:rPr>
          <w:b w:val="0"/>
          <w:i w:val="0"/>
          <w:sz w:val="20"/>
        </w:rPr>
        <w:t xml:space="preserve"> The tacrolimus level rises when diltiazem is started: non-dihydropyridines inhibit CYP3A4 and P-glycoprotein, and tacrolimus and cyclosporine are on both lists, so their levels rise.</w:t>
      </w:r>
    </w:p>
    <w:p>
      <w:pPr>
        <w:pStyle w:val="ListBullet"/>
        <w:spacing w:after="40"/>
      </w:pPr>
      <w:r>
        <w:rPr>
          <w:b/>
          <w:i w:val="0"/>
          <w:sz w:val="20"/>
        </w:rPr>
        <w:t>Calcium channel blockers in heart failure.</w:t>
      </w:r>
      <w:r>
        <w:rPr>
          <w:b w:val="0"/>
          <w:i w:val="0"/>
          <w:sz w:val="20"/>
        </w:rPr>
        <w:t xml:space="preserve"> Heart failure is a relative contraindication to the non-dihydropyridines because they suppress contractility; amlodipine, a dihydropyridine approved for hypertension, has little effect on contractility and avoids this.</w:t>
      </w:r>
    </w:p>
    <w:p>
      <w:pPr>
        <w:pStyle w:val="ListBullet"/>
        <w:spacing w:after="40"/>
      </w:pPr>
      <w:r>
        <w:rPr>
          <w:b/>
          <w:i w:val="0"/>
          <w:sz w:val="20"/>
        </w:rPr>
        <w:t>Diltiazem and simvastatin.</w:t>
      </w:r>
      <w:r>
        <w:rPr>
          <w:b w:val="0"/>
          <w:i w:val="0"/>
          <w:sz w:val="20"/>
        </w:rPr>
        <w:t xml:space="preserve"> Diltiazem raises simvastatin levels by inhibiting CYP3A4; non-dihydropyridines inhibit CYP3A4, raising atorvastatin, lovastatin and simvastatin.</w:t>
      </w:r>
    </w:p>
    <w:p>
      <w:pPr>
        <w:pStyle w:val="Heading3"/>
        <w:spacing w:before="200" w:after="100"/>
      </w:pPr>
      <w:r>
        <w:rPr>
          <w:rFonts w:ascii="Georgia" w:hAnsi="Georgia"/>
          <w:color w:val="6B3524"/>
        </w:rPr>
        <w:t>Non-dihydropyridines: diltiazem (Cardizem) and verapamil (Calan)</w:t>
      </w:r>
    </w:p>
    <w:p>
      <w:pPr>
        <w:spacing w:after="120"/>
      </w:pPr>
      <w:r>
        <w:rPr>
          <w:b w:val="0"/>
          <w:i w:val="0"/>
        </w:rPr>
        <w:t xml:space="preserve">Intravenous or oral. </w:t>
      </w:r>
      <w:r>
        <w:rPr>
          <w:b/>
          <w:i w:val="0"/>
        </w:rPr>
        <w:t>Indications:</w:t>
      </w:r>
      <w:r>
        <w:rPr>
          <w:b w:val="0"/>
          <w:i w:val="0"/>
        </w:rPr>
        <w:t xml:space="preserve"> angina, hypertension, and </w:t>
      </w:r>
      <w:r>
        <w:rPr>
          <w:b w:val="0"/>
          <w:i w:val="0"/>
          <w:highlight w:val="yellow"/>
        </w:rPr>
        <w:t>supraventricular tachycardia — atrial fibrillation or flutter, paroxysmal supraventricular tachycardia</w:t>
      </w:r>
      <w:r>
        <w:rPr>
          <w:b w:val="0"/>
          <w:i w:val="0"/>
        </w:rPr>
        <w:t xml:space="preserve">. </w:t>
      </w:r>
      <w:r>
        <w:rPr>
          <w:b/>
          <w:i w:val="0"/>
        </w:rPr>
        <w:t>Adverse effects:</w:t>
      </w:r>
      <w:r>
        <w:rPr>
          <w:b w:val="0"/>
          <w:i w:val="0"/>
        </w:rPr>
        <w:t xml:space="preserve"> peripheral vasodilation (flushing, headache, hypotension, peripheral edema, dizziness); the cardiac set — </w:t>
      </w:r>
      <w:r>
        <w:rPr>
          <w:b w:val="0"/>
          <w:i w:val="0"/>
          <w:highlight w:val="yellow"/>
        </w:rPr>
        <w:t>first-degree AV block, bradycardia, exacerbation of congestive heart failure</w:t>
      </w:r>
      <w:r>
        <w:rPr>
          <w:b w:val="0"/>
          <w:i w:val="0"/>
        </w:rPr>
        <w:t xml:space="preserve">; gastrointestinal effects, including </w:t>
      </w:r>
      <w:r>
        <w:rPr>
          <w:b w:val="0"/>
          <w:i w:val="0"/>
          <w:highlight w:val="yellow"/>
        </w:rPr>
        <w:t>constipation</w:t>
      </w:r>
      <w:r>
        <w:rPr>
          <w:b w:val="0"/>
          <w:i w:val="0"/>
        </w:rPr>
        <w:t xml:space="preserve">, which is worth asking the patient about; raised liver enzymes; central effects; gynecomastia or sexual dysfunction; </w:t>
      </w:r>
      <w:r>
        <w:rPr>
          <w:b/>
          <w:i w:val="0"/>
        </w:rPr>
        <w:t>gingival hyperplasia</w:t>
      </w:r>
      <w:r>
        <w:rPr>
          <w:b w:val="0"/>
          <w:i w:val="0"/>
        </w:rPr>
        <w:t xml:space="preserve">; skin reactions. </w:t>
      </w:r>
      <w:r>
        <w:rPr>
          <w:b/>
          <w:i w:val="0"/>
        </w:rPr>
        <w:t>Contraindications:</w:t>
      </w:r>
      <w:r>
        <w:rPr>
          <w:b w:val="0"/>
          <w:i w:val="0"/>
        </w:rPr>
        <w:t xml:space="preserve"> advanced heart block and hypotension; relatively, heart failure, liver disease and gastroesophageal reflux disease.</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Non-dihydropyridines are </w:t>
            </w:r>
            <w:r>
              <w:rPr>
                <w:b/>
                <w:i w:val="0"/>
              </w:rPr>
              <w:t>CYP3A4 (cytochrome P450 3A4) inhibitors</w:t>
            </w:r>
            <w:r>
              <w:rPr>
                <w:b w:val="0"/>
                <w:i w:val="0"/>
              </w:rPr>
              <w:t xml:space="preserve"> — raising </w:t>
            </w:r>
            <w:r>
              <w:rPr>
                <w:b/>
                <w:i w:val="0"/>
              </w:rPr>
              <w:t>statins (atorvastatin, lovastatin, simvastatin)</w:t>
            </w:r>
            <w:r>
              <w:rPr>
                <w:b w:val="0"/>
                <w:i w:val="0"/>
              </w:rPr>
              <w:t xml:space="preserve">, carbamazepine, propranolol, tacrolimus and cyclosporine — and </w:t>
            </w:r>
            <w:r>
              <w:rPr>
                <w:b/>
                <w:i w:val="0"/>
              </w:rPr>
              <w:t>P-glycoprotein inhibitors</w:t>
            </w:r>
            <w:r>
              <w:rPr>
                <w:b w:val="0"/>
                <w:i w:val="0"/>
              </w:rPr>
              <w:t xml:space="preserve">, raising tacrolimus, cyclosporine, carbamazepine and </w:t>
            </w:r>
            <w:r>
              <w:rPr>
                <w:b/>
                <w:i w:val="0"/>
              </w:rPr>
              <w:t>digoxin</w:t>
            </w:r>
            <w:r>
              <w:rPr>
                <w:b w:val="0"/>
                <w:i w:val="0"/>
              </w:rPr>
              <w:t xml:space="preserve">. </w:t>
            </w:r>
            <w:r>
              <w:rPr>
                <w:b w:val="0"/>
                <w:i/>
              </w:rPr>
              <w:t>“Note that down, start underlining.”</w:t>
            </w:r>
            <w:r>
              <w:rPr>
                <w:b w:val="0"/>
                <w:i w:val="0"/>
              </w:rPr>
              <w:t xml:space="preserve"> The statins in that list are the same three that Lecture 7 names as CYP3A4 substrates (section 4.2).</w:t>
            </w:r>
          </w:p>
        </w:tc>
      </w:tr>
    </w:tbl>
    <w:p>
      <w:pPr>
        <w:spacing w:after="80"/>
      </w:pPr>
    </w:p>
    <w:p>
      <w:pPr>
        <w:spacing w:after="120"/>
      </w:pPr>
      <w:r>
        <w:rPr>
          <w:b w:val="0"/>
          <w:i w:val="0"/>
        </w:rPr>
        <w:t xml:space="preserve">Pharmacodynamic interactions: amiodarone (slower sinus rate, worse atrioventricular block), digoxin, and beta blockers — with a beta blocker the effects on blood pressure, heart rate and contractility are synergistic, so </w:t>
      </w:r>
      <w:r>
        <w:rPr>
          <w:b/>
          <w:i w:val="0"/>
        </w:rPr>
        <w:t>in combination use lower doses of each</w:t>
      </w:r>
      <w:r>
        <w:rPr>
          <w:b w:val="0"/>
          <w:i w:val="0"/>
        </w:rPr>
        <w:t>. CYP3A4 inhibitors lengthen the non-dihydropyridine’s own half-life.</w:t>
      </w:r>
    </w:p>
    <w:p>
      <w:pPr>
        <w:pStyle w:val="Heading3"/>
        <w:spacing w:before="200" w:after="100"/>
      </w:pPr>
      <w:r>
        <w:rPr>
          <w:rFonts w:ascii="Georgia" w:hAnsi="Georgia"/>
          <w:color w:val="6B3524"/>
        </w:rPr>
        <w:t>Dihydropyridines (-dipine)</w:t>
      </w:r>
    </w:p>
    <w:p>
      <w:pPr>
        <w:spacing w:after="120"/>
      </w:pPr>
      <w:r>
        <w:rPr>
          <w:b w:val="0"/>
          <w:i w:val="0"/>
        </w:rPr>
        <w:t xml:space="preserve">Oral only, </w:t>
      </w:r>
      <w:r>
        <w:rPr>
          <w:b/>
          <w:i w:val="0"/>
        </w:rPr>
        <w:t>except nicardipine</w:t>
      </w:r>
      <w:r>
        <w:rPr>
          <w:b w:val="0"/>
          <w:i w:val="0"/>
        </w:rPr>
        <w:t xml:space="preserve">, which has an intravenous form. Amlodipine, nifedipine and nicardipine treat angina and hypertension; felodipine, isradipine and nisoldipine, hypertension; </w:t>
      </w:r>
      <w:r>
        <w:rPr>
          <w:b/>
          <w:i w:val="0"/>
        </w:rPr>
        <w:t>nimodipine, subarachnoid hemorrhage</w:t>
      </w:r>
      <w:r>
        <w:rPr>
          <w:b w:val="0"/>
          <w:i w:val="0"/>
        </w:rPr>
        <w:t xml:space="preserve">. </w:t>
      </w:r>
      <w:r>
        <w:rPr>
          <w:b/>
          <w:i w:val="0"/>
        </w:rPr>
        <w:t>Adverse effects:</w:t>
      </w:r>
      <w:r>
        <w:rPr>
          <w:b w:val="0"/>
          <w:i w:val="0"/>
        </w:rPr>
        <w:t xml:space="preserve"> peripheral vasodilation — peripheral edema, dyspnea, wheezing and </w:t>
      </w:r>
      <w:r>
        <w:rPr>
          <w:b w:val="0"/>
          <w:i w:val="0"/>
          <w:highlight w:val="yellow"/>
        </w:rPr>
        <w:t>rebound tachycardia</w:t>
      </w:r>
      <w:r>
        <w:rPr>
          <w:b w:val="0"/>
          <w:i w:val="0"/>
        </w:rPr>
        <w:t xml:space="preserve">, the heart’s reflex answer to an abrupt fall in resistance; gastrointestinal, central and skin effects; gynecomastia; gingival hyperplasia. </w:t>
      </w:r>
      <w:r>
        <w:rPr>
          <w:b/>
          <w:i w:val="0"/>
        </w:rPr>
        <w:t>Contraindications:</w:t>
      </w:r>
      <w:r>
        <w:rPr>
          <w:b w:val="0"/>
          <w:i w:val="0"/>
        </w:rPr>
        <w:t xml:space="preserve"> </w:t>
      </w:r>
      <w:r>
        <w:rPr>
          <w:b/>
          <w:i w:val="0"/>
        </w:rPr>
        <w:t>severe aortic stenosis</w:t>
      </w:r>
      <w:r>
        <w:rPr>
          <w:b w:val="0"/>
          <w:i w:val="0"/>
        </w:rPr>
        <w:t xml:space="preserve">, and </w:t>
      </w:r>
      <w:r>
        <w:rPr>
          <w:b/>
          <w:i w:val="0"/>
        </w:rPr>
        <w:t>unstable angina or a recent myocardial infarction</w:t>
      </w:r>
      <w:r>
        <w:rPr>
          <w:b w:val="0"/>
          <w:i w:val="0"/>
        </w:rPr>
        <w:t xml:space="preserve"> with the immediate-release form — avoid short-acting formulations. </w:t>
      </w:r>
      <w:r>
        <w:rPr>
          <w:b/>
          <w:i w:val="0"/>
        </w:rPr>
        <w:t>Interactions:</w:t>
      </w:r>
      <w:r>
        <w:rPr>
          <w:b w:val="0"/>
          <w:i w:val="0"/>
        </w:rPr>
        <w:t xml:space="preserve"> amiodarone, digoxin and beta blockers pharmacodynamically; and CYP3A4 inhibitors lengthen their half-life.</w:t>
      </w:r>
    </w:p>
    <w:p>
      <w:pPr>
        <w:spacing w:after="120"/>
      </w:pPr>
      <w:r>
        <w:rPr>
          <w:b/>
          <w:i w:val="0"/>
        </w:rPr>
        <w:t>The CYP3A4 asymmetry.</w:t>
      </w:r>
      <w:r>
        <w:rPr>
          <w:b w:val="0"/>
          <w:i w:val="0"/>
        </w:rPr>
        <w:t xml:space="preserve"> Dihydropyridines are </w:t>
      </w:r>
      <w:r>
        <w:rPr>
          <w:b w:val="0"/>
          <w:i/>
        </w:rPr>
        <w:t>substrates</w:t>
      </w:r>
      <w:r>
        <w:rPr>
          <w:b w:val="0"/>
          <w:i w:val="0"/>
        </w:rPr>
        <w:t xml:space="preserve"> of CYP3A4 but do not inhibit it; non-dihydropyridines are substrates </w:t>
      </w:r>
      <w:r>
        <w:rPr>
          <w:b w:val="0"/>
          <w:i/>
        </w:rPr>
        <w:t>and</w:t>
      </w:r>
      <w:r>
        <w:rPr>
          <w:b w:val="0"/>
          <w:i w:val="0"/>
        </w:rPr>
        <w:t xml:space="preserve"> inhibitors. “Another key difference.” Only the non-dihydropyridine raises the statin.</w:t>
      </w:r>
    </w:p>
    <w:p>
      <w:pPr>
        <w:pStyle w:val="Heading2"/>
        <w:spacing w:before="200" w:after="100"/>
      </w:pPr>
      <w:r>
        <w:rPr>
          <w:rFonts w:ascii="Georgia" w:hAnsi="Georgia"/>
          <w:color w:val="6B3524"/>
        </w:rPr>
        <w:t>3.5 · Objectives 1–8 — Beta blockers</w:t>
      </w:r>
    </w:p>
    <w:p>
      <w:pPr>
        <w:spacing w:after="120"/>
      </w:pPr>
      <w:r>
        <w:rPr>
          <w:b/>
          <w:i w:val="0"/>
        </w:rPr>
        <w:t>Mechanism:</w:t>
      </w:r>
      <w:r>
        <w:rPr>
          <w:b w:val="0"/>
          <w:i w:val="0"/>
        </w:rPr>
        <w:t xml:space="preserve"> competitive block of cardiac beta-1 (lower cardiac output, an acute reflex rise in peripheral resistance, reduced exercise tolerance); of the beta-1 receptors that release renin (less angiotensin II); of presynaptic beta-2 (less norepinephrine release); and of pulmonary beta-2 (less bronchial relaxation, so bronchospasm in asthma); plus central reduction of sympathetic activity and an altered baroreflex. Blood pressure falls only </w:t>
      </w:r>
      <w:r>
        <w:rPr>
          <w:b/>
          <w:i w:val="0"/>
        </w:rPr>
        <w:t>chronically</w:t>
      </w:r>
      <w:r>
        <w:rPr>
          <w:b w:val="0"/>
          <w:i w:val="0"/>
        </w:rPr>
        <w:t>, once the baroreflex resets.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B3524"/>
          </w:tcPr>
          <w:p>
            <w:pPr>
              <w:spacing w:after="40"/>
            </w:pPr>
            <w:r>
              <w:rPr>
                <w:b/>
                <w:color w:val="FFFFFF"/>
                <w:sz w:val="18"/>
              </w:rPr>
            </w:r>
            <w:r>
              <w:rPr>
                <w:b/>
                <w:i w:val="0"/>
                <w:color w:val="FFFFFF"/>
                <w:sz w:val="18"/>
              </w:rPr>
              <w:t>Generation</w:t>
            </w:r>
          </w:p>
        </w:tc>
        <w:tc>
          <w:tcPr>
            <w:tcW w:type="dxa" w:w="4848"/>
            <w:shd w:val="clear" w:color="auto" w:fill="6B3524"/>
          </w:tcPr>
          <w:p>
            <w:pPr>
              <w:spacing w:after="40"/>
            </w:pPr>
            <w:r>
              <w:rPr>
                <w:b/>
                <w:color w:val="FFFFFF"/>
                <w:sz w:val="18"/>
              </w:rPr>
            </w:r>
            <w:r>
              <w:rPr>
                <w:b/>
                <w:i w:val="0"/>
                <w:color w:val="FFFFFF"/>
                <w:sz w:val="18"/>
              </w:rPr>
              <w:t>Agents</w:t>
            </w:r>
          </w:p>
        </w:tc>
        <w:tc>
          <w:tcPr>
            <w:tcW w:type="dxa" w:w="4848"/>
            <w:shd w:val="clear" w:color="auto" w:fill="6B3524"/>
          </w:tcPr>
          <w:p>
            <w:pPr>
              <w:spacing w:after="40"/>
            </w:pPr>
            <w:r>
              <w:rPr>
                <w:b/>
                <w:color w:val="FFFFFF"/>
                <w:sz w:val="18"/>
              </w:rPr>
            </w:r>
            <w:r>
              <w:rPr>
                <w:b/>
                <w:i w:val="0"/>
                <w:color w:val="FFFFFF"/>
                <w:sz w:val="18"/>
              </w:rPr>
              <w:t>What to know</w:t>
            </w:r>
          </w:p>
        </w:tc>
      </w:tr>
      <w:tr>
        <w:tc>
          <w:tcPr>
            <w:tcW w:type="dxa" w:w="4848"/>
          </w:tcPr>
          <w:p>
            <w:pPr>
              <w:spacing w:after="40"/>
            </w:pPr>
            <w:r>
              <w:rPr>
                <w:sz w:val="18"/>
              </w:rPr>
            </w:r>
            <w:r>
              <w:rPr>
                <w:b w:val="0"/>
                <w:i w:val="0"/>
                <w:sz w:val="18"/>
              </w:rPr>
              <w:t xml:space="preserve">First — </w:t>
            </w:r>
            <w:r>
              <w:rPr>
                <w:b/>
                <w:i w:val="0"/>
                <w:sz w:val="18"/>
              </w:rPr>
              <w:t>non-selective</w:t>
            </w:r>
          </w:p>
        </w:tc>
        <w:tc>
          <w:tcPr>
            <w:tcW w:type="dxa" w:w="4848"/>
          </w:tcPr>
          <w:p>
            <w:pPr>
              <w:spacing w:after="40"/>
            </w:pPr>
            <w:r>
              <w:rPr>
                <w:sz w:val="18"/>
              </w:rPr>
            </w:r>
            <w:r>
              <w:rPr>
                <w:b w:val="0"/>
                <w:i w:val="0"/>
                <w:sz w:val="18"/>
              </w:rPr>
              <w:t xml:space="preserve">Nadolol, penbutolol, pindolol, </w:t>
            </w:r>
            <w:r>
              <w:rPr>
                <w:b/>
                <w:i w:val="0"/>
                <w:sz w:val="18"/>
              </w:rPr>
              <w:t>propranolol</w:t>
            </w:r>
            <w:r>
              <w:rPr>
                <w:b w:val="0"/>
                <w:i w:val="0"/>
                <w:sz w:val="18"/>
              </w:rPr>
              <w:t>, sotalol, timolol</w:t>
            </w:r>
          </w:p>
        </w:tc>
        <w:tc>
          <w:tcPr>
            <w:tcW w:type="dxa" w:w="4848"/>
          </w:tcPr>
          <w:p>
            <w:pPr>
              <w:spacing w:after="40"/>
            </w:pPr>
            <w:r>
              <w:rPr>
                <w:sz w:val="18"/>
              </w:rPr>
            </w:r>
            <w:r>
              <w:rPr>
                <w:b w:val="0"/>
                <w:i w:val="0"/>
                <w:sz w:val="18"/>
              </w:rPr>
              <w:t xml:space="preserve">Block beta-1 and beta-2. </w:t>
            </w:r>
            <w:r>
              <w:rPr>
                <w:b w:val="0"/>
                <w:i w:val="0"/>
                <w:sz w:val="18"/>
                <w:highlight w:val="yellow"/>
              </w:rPr>
              <w:t>Propranolol: high lipid solubility</w:t>
            </w:r>
            <w:r>
              <w:rPr>
                <w:b w:val="0"/>
                <w:i w:val="0"/>
                <w:sz w:val="18"/>
              </w:rPr>
              <w:t xml:space="preserve"> → central effects</w:t>
            </w:r>
          </w:p>
        </w:tc>
      </w:tr>
      <w:tr>
        <w:tc>
          <w:tcPr>
            <w:tcW w:type="dxa" w:w="4848"/>
          </w:tcPr>
          <w:p>
            <w:pPr>
              <w:spacing w:after="40"/>
            </w:pPr>
            <w:r>
              <w:rPr>
                <w:sz w:val="18"/>
              </w:rPr>
            </w:r>
            <w:r>
              <w:rPr>
                <w:b w:val="0"/>
                <w:i w:val="0"/>
                <w:sz w:val="18"/>
              </w:rPr>
              <w:t xml:space="preserve">Second — </w:t>
            </w:r>
            <w:r>
              <w:rPr>
                <w:b/>
                <w:i w:val="0"/>
                <w:sz w:val="18"/>
              </w:rPr>
              <w:t>beta-1 selective</w:t>
            </w:r>
          </w:p>
        </w:tc>
        <w:tc>
          <w:tcPr>
            <w:tcW w:type="dxa" w:w="4848"/>
          </w:tcPr>
          <w:p>
            <w:pPr>
              <w:spacing w:after="40"/>
            </w:pPr>
            <w:r>
              <w:rPr>
                <w:sz w:val="18"/>
              </w:rPr>
            </w:r>
            <w:r>
              <w:rPr>
                <w:b w:val="0"/>
                <w:i w:val="0"/>
                <w:sz w:val="18"/>
              </w:rPr>
              <w:t xml:space="preserve">Acebutolol, atenolol, bisoprolol, </w:t>
            </w:r>
            <w:r>
              <w:rPr>
                <w:b/>
                <w:i w:val="0"/>
                <w:sz w:val="18"/>
              </w:rPr>
              <w:t>esmolol (intravenous)</w:t>
            </w:r>
            <w:r>
              <w:rPr>
                <w:b w:val="0"/>
                <w:i w:val="0"/>
                <w:sz w:val="18"/>
              </w:rPr>
              <w:t>, metoprolol</w:t>
            </w:r>
          </w:p>
        </w:tc>
        <w:tc>
          <w:tcPr>
            <w:tcW w:type="dxa" w:w="4848"/>
          </w:tcPr>
          <w:p>
            <w:pPr>
              <w:spacing w:after="40"/>
            </w:pPr>
            <w:r>
              <w:rPr>
                <w:sz w:val="18"/>
              </w:rPr>
            </w:r>
            <w:r>
              <w:rPr>
                <w:b w:val="0"/>
                <w:i w:val="0"/>
                <w:sz w:val="18"/>
              </w:rPr>
              <w:t>Bronchospasm less likely</w:t>
            </w:r>
          </w:p>
        </w:tc>
      </w:tr>
      <w:tr>
        <w:tc>
          <w:tcPr>
            <w:tcW w:type="dxa" w:w="4848"/>
          </w:tcPr>
          <w:p>
            <w:pPr>
              <w:spacing w:after="40"/>
            </w:pPr>
            <w:r>
              <w:rPr>
                <w:sz w:val="18"/>
              </w:rPr>
            </w:r>
            <w:r>
              <w:rPr>
                <w:b w:val="0"/>
                <w:i w:val="0"/>
                <w:sz w:val="18"/>
              </w:rPr>
              <w:t xml:space="preserve">Third — </w:t>
            </w:r>
            <w:r>
              <w:rPr>
                <w:b/>
                <w:i w:val="0"/>
                <w:sz w:val="18"/>
              </w:rPr>
              <w:t>vasodilating</w:t>
            </w:r>
          </w:p>
        </w:tc>
        <w:tc>
          <w:tcPr>
            <w:tcW w:type="dxa" w:w="4848"/>
          </w:tcPr>
          <w:p>
            <w:pPr>
              <w:spacing w:after="40"/>
            </w:pPr>
            <w:r>
              <w:rPr>
                <w:sz w:val="18"/>
              </w:rPr>
            </w:r>
            <w:r>
              <w:rPr>
                <w:b/>
                <w:i w:val="0"/>
                <w:sz w:val="18"/>
              </w:rPr>
              <w:t>Carvedilol</w:t>
            </w:r>
            <w:r>
              <w:rPr>
                <w:b w:val="0"/>
                <w:i w:val="0"/>
                <w:sz w:val="18"/>
              </w:rPr>
              <w:t xml:space="preserve">, </w:t>
            </w:r>
            <w:r>
              <w:rPr>
                <w:b/>
                <w:i w:val="0"/>
                <w:sz w:val="18"/>
              </w:rPr>
              <w:t>labetalol</w:t>
            </w:r>
            <w:r>
              <w:rPr>
                <w:b w:val="0"/>
                <w:i w:val="0"/>
                <w:sz w:val="18"/>
              </w:rPr>
              <w:t>; also carteolol and betaxolol (glaucoma)</w:t>
            </w:r>
          </w:p>
        </w:tc>
        <w:tc>
          <w:tcPr>
            <w:tcW w:type="dxa" w:w="4848"/>
          </w:tcPr>
          <w:p>
            <w:pPr>
              <w:spacing w:after="40"/>
            </w:pPr>
            <w:r>
              <w:rPr>
                <w:sz w:val="18"/>
              </w:rPr>
            </w:r>
            <w:r>
              <w:rPr>
                <w:b w:val="0"/>
                <w:i w:val="0"/>
                <w:sz w:val="18"/>
                <w:highlight w:val="yellow"/>
              </w:rPr>
              <w:t>Carvedilol and labetalol: α1 blockade</w:t>
            </w:r>
            <w:r>
              <w:rPr>
                <w:b w:val="0"/>
                <w:i w:val="0"/>
                <w:sz w:val="18"/>
              </w:rPr>
              <w:t xml:space="preserve"> (labetalol also beta-2 agonism; carvedilol antioxidant and antiproliferative). Betaxolol is the beta-1 selective one</w:t>
            </w:r>
          </w:p>
        </w:tc>
      </w:tr>
    </w:tbl>
    <w:p>
      <w:pPr>
        <w:spacing w:after="80"/>
      </w:pPr>
    </w:p>
    <w:p>
      <w:pPr>
        <w:spacing w:after="120"/>
      </w:pPr>
      <w:r>
        <w:rPr>
          <w:b/>
          <w:i w:val="0"/>
        </w:rPr>
        <w:t>Indications.</w:t>
      </w:r>
      <w:r>
        <w:rPr>
          <w:b w:val="0"/>
          <w:i w:val="0"/>
        </w:rPr>
        <w:t xml:space="preserve"> Hypertension — but </w:t>
      </w:r>
      <w:r>
        <w:rPr>
          <w:b w:val="0"/>
          <w:i w:val="0"/>
          <w:highlight w:val="yellow"/>
        </w:rPr>
        <w:t>not recommended for first line management of HTN</w:t>
      </w:r>
      <w:r>
        <w:rPr>
          <w:b w:val="0"/>
          <w:i w:val="0"/>
        </w:rPr>
        <w:t xml:space="preserve"> (hypertension). The slide adds that they </w:t>
      </w:r>
      <w:r>
        <w:rPr>
          <w:b/>
          <w:i w:val="0"/>
        </w:rPr>
        <w:t>work best in young patients</w:t>
      </w:r>
      <w:r>
        <w:rPr>
          <w:b w:val="0"/>
          <w:i w:val="0"/>
        </w:rPr>
        <w:t xml:space="preserve"> with resting tachycardia, high catecholamines and high renin, that fatigue and limited exercise are the common complaints, and that they are still useful in the elderly. Beyond hypertension: </w:t>
      </w:r>
      <w:r>
        <w:rPr>
          <w:b/>
          <w:i w:val="0"/>
        </w:rPr>
        <w:t>glaucoma</w:t>
      </w:r>
      <w:r>
        <w:rPr>
          <w:b w:val="0"/>
          <w:i w:val="0"/>
        </w:rPr>
        <w:t xml:space="preserve"> (timolol, betaxolol, carteolol — less aqueous humor), </w:t>
      </w:r>
      <w:r>
        <w:rPr>
          <w:b/>
          <w:i w:val="0"/>
        </w:rPr>
        <w:t>migraine prophylaxis</w:t>
      </w:r>
      <w:r>
        <w:rPr>
          <w:b w:val="0"/>
          <w:i w:val="0"/>
        </w:rPr>
        <w:t xml:space="preserve"> (propranolol, timolol), </w:t>
      </w:r>
      <w:r>
        <w:rPr>
          <w:b/>
          <w:i w:val="0"/>
        </w:rPr>
        <w:t>hyperthyroidism</w:t>
      </w:r>
      <w:r>
        <w:rPr>
          <w:b w:val="0"/>
          <w:i w:val="0"/>
        </w:rPr>
        <w:t xml:space="preserve"> (less tachycardia, tremor and anxiety, and less peripheral conversion of T4 to T3), </w:t>
      </w:r>
      <w:r>
        <w:rPr>
          <w:b/>
          <w:i w:val="0"/>
        </w:rPr>
        <w:t>angina</w:t>
      </w:r>
      <w:r>
        <w:rPr>
          <w:b w:val="0"/>
          <w:i w:val="0"/>
        </w:rPr>
        <w:t xml:space="preserve"> (longer exercise time), </w:t>
      </w:r>
      <w:r>
        <w:rPr>
          <w:b/>
          <w:i w:val="0"/>
        </w:rPr>
        <w:t>acute myocardial infarction</w:t>
      </w:r>
      <w:r>
        <w:rPr>
          <w:b w:val="0"/>
          <w:i w:val="0"/>
        </w:rPr>
        <w:t xml:space="preserve"> (avoid agents with intrinsic sympathomimetic activity), </w:t>
      </w:r>
      <w:r>
        <w:rPr>
          <w:b/>
          <w:i w:val="0"/>
        </w:rPr>
        <w:t>supraventricular arrhythmias</w:t>
      </w:r>
      <w:r>
        <w:rPr>
          <w:b w:val="0"/>
          <w:i w:val="0"/>
        </w:rPr>
        <w:t xml:space="preserve"> (atrioventricular nodal block), </w:t>
      </w:r>
      <w:r>
        <w:rPr>
          <w:b/>
          <w:i w:val="0"/>
        </w:rPr>
        <w:t>acute panic attacks</w:t>
      </w:r>
      <w:r>
        <w:rPr>
          <w:b w:val="0"/>
          <w:i w:val="0"/>
        </w:rPr>
        <w:t xml:space="preserve">, </w:t>
      </w:r>
      <w:r>
        <w:rPr>
          <w:b/>
          <w:i w:val="0"/>
        </w:rPr>
        <w:t>benign essential tremor</w:t>
      </w:r>
      <w:r>
        <w:rPr>
          <w:b w:val="0"/>
          <w:i w:val="0"/>
        </w:rPr>
        <w:t xml:space="preserve"> (skeletal muscle beta-2), and </w:t>
      </w:r>
      <w:r>
        <w:rPr>
          <w:b/>
          <w:i w:val="0"/>
        </w:rPr>
        <w:t>heart failure</w:t>
      </w:r>
      <w:r>
        <w:rPr>
          <w:b w:val="0"/>
          <w:i w:val="0"/>
        </w:rPr>
        <w: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Heart failure: </w:t>
            </w:r>
            <w:r>
              <w:rPr>
                <w:b/>
                <w:i w:val="0"/>
              </w:rPr>
              <w:t>carvedilol, metoprolol succinate, bisoprolol</w:t>
            </w:r>
            <w:r>
              <w:rPr>
                <w:b w:val="0"/>
                <w:i w:val="0"/>
              </w:rPr>
              <w:t xml:space="preserve"> — </w:t>
            </w:r>
            <w:r>
              <w:rPr>
                <w:b w:val="0"/>
                <w:i/>
              </w:rPr>
              <w:t>“just know these three.”</w:t>
            </w:r>
            <w:r>
              <w:rPr>
                <w:b w:val="0"/>
                <w:i w:val="0"/>
              </w:rPr>
              <w:t xml:space="preserve"> Originally contraindicated; now they raise cardiac output and lower resistance and heart rate in a failing ventricle, but they </w:t>
            </w:r>
            <w:r>
              <w:rPr>
                <w:b/>
                <w:i w:val="0"/>
              </w:rPr>
              <w:t>initially worsen symptoms, so start with a very low dose and increase slowly</w:t>
            </w:r>
            <w:r>
              <w:rPr>
                <w:b w:val="0"/>
                <w:i w:val="0"/>
              </w:rPr>
              <w:t>.</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Adverse effect</w:t>
            </w:r>
          </w:p>
        </w:tc>
        <w:tc>
          <w:tcPr>
            <w:tcW w:type="dxa" w:w="7272"/>
            <w:shd w:val="clear" w:color="auto" w:fill="6B3524"/>
          </w:tcPr>
          <w:p>
            <w:pPr>
              <w:spacing w:after="40"/>
            </w:pPr>
            <w:r>
              <w:rPr>
                <w:b/>
                <w:color w:val="FFFFFF"/>
                <w:sz w:val="18"/>
              </w:rPr>
            </w:r>
            <w:r>
              <w:rPr>
                <w:b/>
                <w:i w:val="0"/>
                <w:color w:val="FFFFFF"/>
                <w:sz w:val="18"/>
              </w:rPr>
              <w:t>Detail</w:t>
            </w:r>
          </w:p>
        </w:tc>
      </w:tr>
      <w:tr>
        <w:tc>
          <w:tcPr>
            <w:tcW w:type="dxa" w:w="7272"/>
          </w:tcPr>
          <w:p>
            <w:pPr>
              <w:spacing w:after="40"/>
            </w:pPr>
            <w:r>
              <w:rPr>
                <w:sz w:val="18"/>
              </w:rPr>
            </w:r>
            <w:r>
              <w:rPr>
                <w:b/>
                <w:i w:val="0"/>
                <w:sz w:val="18"/>
              </w:rPr>
              <w:t>Bronchoconstriction</w:t>
            </w:r>
          </w:p>
        </w:tc>
        <w:tc>
          <w:tcPr>
            <w:tcW w:type="dxa" w:w="7272"/>
          </w:tcPr>
          <w:p>
            <w:pPr>
              <w:spacing w:after="40"/>
            </w:pPr>
            <w:r>
              <w:rPr>
                <w:sz w:val="18"/>
              </w:rPr>
            </w:r>
            <w:r>
              <w:rPr>
                <w:b w:val="0"/>
                <w:i w:val="0"/>
                <w:sz w:val="18"/>
              </w:rPr>
              <w:t xml:space="preserve">Worsens asthma; bronchospasm in a third of patients with chronic obstructive pulmonary disease, where the class is contraindicated. </w:t>
            </w:r>
            <w:r>
              <w:rPr>
                <w:b w:val="0"/>
                <w:i w:val="0"/>
                <w:sz w:val="18"/>
                <w:highlight w:val="yellow"/>
              </w:rPr>
              <w:t>Less likely with b1 selective agents</w:t>
            </w:r>
          </w:p>
        </w:tc>
      </w:tr>
      <w:tr>
        <w:tc>
          <w:tcPr>
            <w:tcW w:type="dxa" w:w="7272"/>
          </w:tcPr>
          <w:p>
            <w:pPr>
              <w:spacing w:after="40"/>
            </w:pPr>
            <w:r>
              <w:rPr>
                <w:sz w:val="18"/>
              </w:rPr>
            </w:r>
            <w:r>
              <w:rPr>
                <w:b w:val="0"/>
                <w:i w:val="0"/>
                <w:sz w:val="18"/>
              </w:rPr>
              <w:t>Cardiodepression</w:t>
            </w:r>
          </w:p>
        </w:tc>
        <w:tc>
          <w:tcPr>
            <w:tcW w:type="dxa" w:w="7272"/>
          </w:tcPr>
          <w:p>
            <w:pPr>
              <w:spacing w:after="40"/>
            </w:pPr>
            <w:r>
              <w:rPr>
                <w:sz w:val="18"/>
              </w:rPr>
            </w:r>
            <w:r>
              <w:rPr>
                <w:b w:val="0"/>
                <w:i w:val="0"/>
                <w:sz w:val="18"/>
              </w:rPr>
              <w:t>Negative inotropy (fatigue, heart failure); negative chronotropy (bradycardia under 60); first-, second- and third-degree heart block</w:t>
            </w:r>
          </w:p>
        </w:tc>
      </w:tr>
      <w:tr>
        <w:tc>
          <w:tcPr>
            <w:tcW w:type="dxa" w:w="7272"/>
          </w:tcPr>
          <w:p>
            <w:pPr>
              <w:spacing w:after="40"/>
            </w:pPr>
            <w:r>
              <w:rPr>
                <w:sz w:val="18"/>
              </w:rPr>
            </w:r>
            <w:r>
              <w:rPr>
                <w:b/>
                <w:i w:val="0"/>
                <w:sz w:val="18"/>
              </w:rPr>
              <w:t>Glucose</w:t>
            </w:r>
          </w:p>
        </w:tc>
        <w:tc>
          <w:tcPr>
            <w:tcW w:type="dxa" w:w="7272"/>
          </w:tcPr>
          <w:p>
            <w:pPr>
              <w:spacing w:after="40"/>
            </w:pPr>
            <w:r>
              <w:rPr>
                <w:sz w:val="18"/>
              </w:rPr>
            </w:r>
            <w:r>
              <w:rPr>
                <w:b w:val="0"/>
                <w:i w:val="0"/>
                <w:sz w:val="18"/>
                <w:highlight w:val="yellow"/>
              </w:rPr>
              <w:t>b-blockers inhibit glycogenolysis, prolong hypoglycemia, mask symptoms</w:t>
            </w:r>
            <w:r>
              <w:rPr>
                <w:b w:val="0"/>
                <w:i w:val="0"/>
                <w:sz w:val="18"/>
              </w:rPr>
              <w:t xml:space="preserve"> in type 1 diabetes; in type 2, less insulin, higher and harder-to-control glucose, and the same masked hypoglycemia</w:t>
            </w:r>
          </w:p>
        </w:tc>
      </w:tr>
      <w:tr>
        <w:tc>
          <w:tcPr>
            <w:tcW w:type="dxa" w:w="7272"/>
          </w:tcPr>
          <w:p>
            <w:pPr>
              <w:spacing w:after="40"/>
            </w:pPr>
            <w:r>
              <w:rPr>
                <w:sz w:val="18"/>
              </w:rPr>
            </w:r>
            <w:r>
              <w:rPr>
                <w:b w:val="0"/>
                <w:i w:val="0"/>
                <w:sz w:val="18"/>
              </w:rPr>
              <w:t>Peripheral circulation</w:t>
            </w:r>
          </w:p>
        </w:tc>
        <w:tc>
          <w:tcPr>
            <w:tcW w:type="dxa" w:w="7272"/>
          </w:tcPr>
          <w:p>
            <w:pPr>
              <w:spacing w:after="40"/>
            </w:pPr>
            <w:r>
              <w:rPr>
                <w:sz w:val="18"/>
              </w:rPr>
            </w:r>
            <w:r>
              <w:rPr>
                <w:b w:val="0"/>
                <w:i w:val="0"/>
                <w:sz w:val="18"/>
              </w:rPr>
              <w:t>Vascular beta-2 block: cold extremities and Raynaud phenomenon, muscle fatigue, intermittent claudication in peripheral artery disease</w:t>
            </w:r>
          </w:p>
        </w:tc>
      </w:tr>
      <w:tr>
        <w:tc>
          <w:tcPr>
            <w:tcW w:type="dxa" w:w="7272"/>
          </w:tcPr>
          <w:p>
            <w:pPr>
              <w:spacing w:after="40"/>
            </w:pPr>
            <w:r>
              <w:rPr>
                <w:sz w:val="18"/>
              </w:rPr>
            </w:r>
            <w:r>
              <w:rPr>
                <w:b/>
                <w:i w:val="0"/>
                <w:sz w:val="18"/>
              </w:rPr>
              <w:t>Sudden withdrawal</w:t>
            </w:r>
          </w:p>
        </w:tc>
        <w:tc>
          <w:tcPr>
            <w:tcW w:type="dxa" w:w="7272"/>
          </w:tcPr>
          <w:p>
            <w:pPr>
              <w:spacing w:after="40"/>
            </w:pPr>
            <w:r>
              <w:rPr>
                <w:sz w:val="18"/>
              </w:rPr>
            </w:r>
            <w:r>
              <w:rPr>
                <w:b w:val="0"/>
                <w:i w:val="0"/>
                <w:sz w:val="18"/>
                <w:highlight w:val="yellow"/>
              </w:rPr>
              <w:t>Sudden withdrawal syndrome — acute angina, MI, marked ↑BP — slowly withdraw</w:t>
            </w:r>
            <w:r>
              <w:rPr>
                <w:b w:val="0"/>
                <w:i w:val="0"/>
                <w:sz w:val="18"/>
              </w:rPr>
              <w:t>; the receptors have upregulated</w:t>
            </w:r>
          </w:p>
        </w:tc>
      </w:tr>
      <w:tr>
        <w:tc>
          <w:tcPr>
            <w:tcW w:type="dxa" w:w="7272"/>
          </w:tcPr>
          <w:p>
            <w:pPr>
              <w:spacing w:after="40"/>
            </w:pPr>
            <w:r>
              <w:rPr>
                <w:sz w:val="18"/>
              </w:rPr>
            </w:r>
            <w:r>
              <w:rPr>
                <w:b w:val="0"/>
                <w:i w:val="0"/>
                <w:sz w:val="18"/>
              </w:rPr>
              <w:t>Central effects</w:t>
            </w:r>
          </w:p>
        </w:tc>
        <w:tc>
          <w:tcPr>
            <w:tcW w:type="dxa" w:w="7272"/>
          </w:tcPr>
          <w:p>
            <w:pPr>
              <w:spacing w:after="40"/>
            </w:pPr>
            <w:r>
              <w:rPr>
                <w:sz w:val="18"/>
              </w:rPr>
            </w:r>
            <w:r>
              <w:rPr>
                <w:b w:val="0"/>
                <w:i w:val="0"/>
                <w:sz w:val="18"/>
                <w:highlight w:val="yellow"/>
              </w:rPr>
              <w:t>Highly lipid soluble agents — depression; nightmares, vivid dreams, hallucinations</w:t>
            </w:r>
            <w:r>
              <w:rPr>
                <w:b w:val="0"/>
                <w:i w:val="0"/>
                <w:sz w:val="18"/>
              </w:rPr>
              <w:t>; fatigue</w:t>
            </w:r>
          </w:p>
        </w:tc>
      </w:tr>
      <w:tr>
        <w:tc>
          <w:tcPr>
            <w:tcW w:type="dxa" w:w="7272"/>
          </w:tcPr>
          <w:p>
            <w:pPr>
              <w:spacing w:after="40"/>
            </w:pPr>
            <w:r>
              <w:rPr>
                <w:sz w:val="18"/>
              </w:rPr>
            </w:r>
            <w:r>
              <w:rPr>
                <w:b w:val="0"/>
                <w:i w:val="0"/>
                <w:sz w:val="18"/>
              </w:rPr>
              <w:t>Lipids</w:t>
            </w:r>
          </w:p>
        </w:tc>
        <w:tc>
          <w:tcPr>
            <w:tcW w:type="dxa" w:w="7272"/>
          </w:tcPr>
          <w:p>
            <w:pPr>
              <w:spacing w:after="40"/>
            </w:pPr>
            <w:r>
              <w:rPr>
                <w:sz w:val="18"/>
              </w:rPr>
            </w:r>
            <w:r>
              <w:rPr>
                <w:b w:val="0"/>
                <w:i w:val="0"/>
                <w:sz w:val="18"/>
              </w:rPr>
              <w:t>Elevated triglycerides</w:t>
            </w:r>
          </w:p>
        </w:tc>
      </w:tr>
    </w:tbl>
    <w:p>
      <w:pPr>
        <w:spacing w:after="80"/>
      </w:pPr>
    </w:p>
    <w:p>
      <w:pPr>
        <w:spacing w:after="120"/>
      </w:pPr>
      <w:r>
        <w:rPr>
          <w:b/>
          <w:i w:val="0"/>
        </w:rPr>
        <w:t>Interactions.</w:t>
      </w:r>
      <w:r>
        <w:rPr>
          <w:b w:val="0"/>
          <w:i w:val="0"/>
        </w:rPr>
        <w:t xml:space="preserve"> Verapamil and diltiazem: synergistic falls in blood pressure, heart rate and contractility — use lower doses of each. </w:t>
      </w:r>
      <w:r>
        <w:rPr>
          <w:b/>
          <w:i w:val="0"/>
        </w:rPr>
        <w:t>Clonidine</w:t>
      </w:r>
      <w:r>
        <w:rPr>
          <w:b w:val="0"/>
          <w:i w:val="0"/>
        </w:rPr>
        <w:t xml:space="preserve">: the combination lowers blood pressure further, and </w:t>
      </w:r>
      <w:r>
        <w:rPr>
          <w:b/>
          <w:i w:val="0"/>
        </w:rPr>
        <w:t>abrupt clonidine withdrawal causes a severe rise in blood pressure</w:t>
      </w:r>
      <w:r>
        <w:rPr>
          <w:b w:val="0"/>
          <w:i w:val="0"/>
        </w:rPr>
        <w:t xml:space="preserve"> (the slide’s label of clonidine as an alpha-2 “blocker” is a slip; it is an agonist, 3.7). Beta blockers also enhance prazosin’s postural hypotension.</w:t>
      </w:r>
    </w:p>
    <w:p>
      <w:pPr>
        <w:spacing w:after="120"/>
      </w:pPr>
      <w:r>
        <w:rPr>
          <w:b w:val="0"/>
          <w:i w:val="0"/>
        </w:rPr>
        <w:t>Also tested</w:t>
      </w:r>
    </w:p>
    <w:p>
      <w:pPr>
        <w:pStyle w:val="ListBullet"/>
        <w:spacing w:after="40"/>
      </w:pPr>
      <w:r>
        <w:rPr>
          <w:b/>
          <w:i w:val="0"/>
          <w:sz w:val="20"/>
        </w:rPr>
        <w:t>Non-selective beta blocker start.</w:t>
      </w:r>
      <w:r>
        <w:rPr>
          <w:b w:val="0"/>
          <w:i w:val="0"/>
          <w:sz w:val="20"/>
        </w:rPr>
        <w:t xml:space="preserve"> Cardiac output falls, so total peripheral resistance rises by reflex at first; mean arterial pressure falls only with chronic therapy as the baroreflex adjusts.</w:t>
      </w:r>
    </w:p>
    <w:p>
      <w:pPr>
        <w:pStyle w:val="ListBullet"/>
        <w:spacing w:after="40"/>
      </w:pPr>
      <w:r>
        <w:rPr>
          <w:b/>
          <w:i w:val="0"/>
          <w:sz w:val="20"/>
        </w:rPr>
        <w:t>Labetalol.</w:t>
      </w:r>
      <w:r>
        <w:rPr>
          <w:b w:val="0"/>
          <w:i w:val="0"/>
          <w:sz w:val="20"/>
        </w:rPr>
        <w:t xml:space="preserve"> This third-generation agent has alpha-1 blockade in addition to beta blockade, and also has beta-2 agonist activity, giving direct vasodilation.</w:t>
      </w:r>
    </w:p>
    <w:p>
      <w:pPr>
        <w:pStyle w:val="ListBullet"/>
        <w:spacing w:after="40"/>
      </w:pPr>
      <w:r>
        <w:rPr>
          <w:b/>
          <w:i w:val="0"/>
          <w:sz w:val="20"/>
        </w:rPr>
        <w:t>Beta blockers and angiotensin II.</w:t>
      </w:r>
      <w:r>
        <w:rPr>
          <w:b w:val="0"/>
          <w:i w:val="0"/>
          <w:sz w:val="20"/>
        </w:rPr>
        <w:t xml:space="preserve"> Blocking renal beta-1 receptors on the juxtaglomerular cells, which mediate renin release, reduces renin and therefore angiotensin II.</w:t>
      </w:r>
    </w:p>
    <w:p>
      <w:pPr>
        <w:pStyle w:val="ListBullet"/>
        <w:spacing w:after="40"/>
      </w:pPr>
      <w:r>
        <w:rPr>
          <w:b/>
          <w:i w:val="0"/>
          <w:sz w:val="20"/>
        </w:rPr>
        <w:t>Beta blockers in COPD (chronic obstructive pulmonary disease).</w:t>
      </w:r>
      <w:r>
        <w:rPr>
          <w:b w:val="0"/>
          <w:i w:val="0"/>
          <w:sz w:val="20"/>
        </w:rPr>
        <w:t xml:space="preserve"> They are contraindicated with bronchospasm because they block airway beta-2 receptors, reducing bronchial smooth muscle relaxation; about a third of patients with COPD develop bronchospasm.</w:t>
      </w:r>
    </w:p>
    <w:p>
      <w:pPr>
        <w:pStyle w:val="ListBullet"/>
        <w:spacing w:after="40"/>
      </w:pPr>
      <w:r>
        <w:rPr>
          <w:b/>
          <w:i w:val="0"/>
          <w:sz w:val="20"/>
        </w:rPr>
        <w:t>Beta blockers in type 1 diabetes.</w:t>
      </w:r>
      <w:r>
        <w:rPr>
          <w:b w:val="0"/>
          <w:i w:val="0"/>
          <w:sz w:val="20"/>
        </w:rPr>
        <w:t xml:space="preserve"> Beta blockers inhibit glycogenolysis, so hypoglycemia lasts longer, and they mask its adrenergic warning symptoms.</w:t>
      </w:r>
    </w:p>
    <w:p>
      <w:pPr>
        <w:pStyle w:val="ListBullet"/>
        <w:spacing w:after="40"/>
      </w:pPr>
      <w:r>
        <w:rPr>
          <w:b/>
          <w:i w:val="0"/>
          <w:sz w:val="20"/>
        </w:rPr>
        <w:t>Beta blockers in heart failure.</w:t>
      </w:r>
      <w:r>
        <w:rPr>
          <w:b w:val="0"/>
          <w:i w:val="0"/>
          <w:sz w:val="20"/>
        </w:rPr>
        <w:t xml:space="preserve"> Start at a very low dose and increase slowly, because beta blockers initially worsen heart failure symptoms.</w:t>
      </w:r>
    </w:p>
    <w:p>
      <w:pPr>
        <w:pStyle w:val="ListBullet"/>
        <w:spacing w:after="40"/>
      </w:pPr>
      <w:r>
        <w:rPr>
          <w:b/>
          <w:i w:val="0"/>
          <w:sz w:val="20"/>
        </w:rPr>
        <w:t>Beta blockade in exertional angina.</w:t>
      </w:r>
      <w:r>
        <w:rPr>
          <w:b w:val="0"/>
          <w:i w:val="0"/>
          <w:sz w:val="20"/>
        </w:rPr>
        <w:t xml:space="preserve"> It prolongs time to symptoms: blunting the rise in heart rate and contractility lengthens the time to the angina-provoking heart rate and prolongs exercise time.</w:t>
      </w:r>
    </w:p>
    <w:p>
      <w:pPr>
        <w:pStyle w:val="Heading2"/>
        <w:spacing w:before="200" w:after="100"/>
      </w:pPr>
      <w:r>
        <w:rPr>
          <w:rFonts w:ascii="Georgia" w:hAnsi="Georgia"/>
          <w:color w:val="6B3524"/>
        </w:rPr>
        <w:t>3.6 · Objectives 1–8 — Alpha-1 blockers</w:t>
      </w:r>
    </w:p>
    <w:p>
      <w:pPr>
        <w:spacing w:after="120"/>
      </w:pPr>
      <w:r>
        <w:rPr>
          <w:b/>
          <w:i w:val="0"/>
        </w:rPr>
        <w:t>Mechanism:</w:t>
      </w:r>
      <w:r>
        <w:rPr>
          <w:b w:val="0"/>
          <w:i w:val="0"/>
        </w:rPr>
        <w:t xml:space="preserve"> reversible block of vascular alpha-1 receptors, dilating precapillary arterioles and lowering peripheral resistance, with a reflex rise in heart rate. </w:t>
      </w:r>
      <w:r>
        <w:rPr>
          <w:b/>
          <w:i w:val="0"/>
        </w:rPr>
        <w:t>Prazosin (Minipress)</w:t>
      </w:r>
      <w:r>
        <w:rPr>
          <w:b w:val="0"/>
          <w:i w:val="0"/>
        </w:rPr>
        <w:t xml:space="preserve"> is the prototype, used for hypertension with beta blockers and diuretics; it slightly lowers LDL (low-density lipoprotein) cholesterol and triglycerides and raises HDL (high-density lipoprotein). Its adverse effects: </w:t>
      </w:r>
      <w:r>
        <w:rPr>
          <w:b/>
          <w:i w:val="0"/>
        </w:rPr>
        <w:t>orthostatic hypotension</w:t>
      </w:r>
      <w:r>
        <w:rPr>
          <w:b w:val="0"/>
          <w:i w:val="0"/>
        </w:rPr>
        <w:t xml:space="preserve"> and postural dizziness, headache, drowsiness, lack of energy; a </w:t>
      </w:r>
      <w:r>
        <w:rPr>
          <w:b/>
          <w:i w:val="0"/>
        </w:rPr>
        <w:t>mild</w:t>
      </w:r>
      <w:r>
        <w:rPr>
          <w:b w:val="0"/>
          <w:i w:val="0"/>
        </w:rPr>
        <w:t xml:space="preserve"> reflex tachycardia; raised renin with sodium and water retention; impotence. Use with caution in cardiac and renal failure. </w:t>
      </w:r>
      <w:r>
        <w:rPr>
          <w:b/>
          <w:i w:val="0"/>
        </w:rPr>
        <w:t>NSAIDs attenuate its response; beta blockers may enhance the postural hypotension.</w:t>
      </w:r>
    </w:p>
    <w:p>
      <w:pPr>
        <w:spacing w:after="120"/>
      </w:pPr>
      <w:r>
        <w:rPr>
          <w:b/>
          <w:i w:val="0"/>
        </w:rPr>
        <w:t>Terazosin (Hytrin) and doxazosin (Cardura)</w:t>
      </w:r>
      <w:r>
        <w:rPr>
          <w:b w:val="0"/>
          <w:i w:val="0"/>
        </w:rPr>
        <w:t xml:space="preserve"> have longer half-lives, so once daily, and treat hypertension and </w:t>
      </w:r>
      <w:r>
        <w:rPr>
          <w:b/>
          <w:i w:val="0"/>
        </w:rPr>
        <w:t>benign prostatic hyperplasia</w:t>
      </w:r>
      <w:r>
        <w:rPr>
          <w:b w:val="0"/>
          <w:i w:val="0"/>
        </w:rPr>
        <w:t xml:space="preserve">. </w:t>
      </w:r>
      <w:r>
        <w:rPr>
          <w:b/>
          <w:i w:val="0"/>
        </w:rPr>
        <w:t>Tamsulosin (Flomax)</w:t>
      </w:r>
      <w:r>
        <w:rPr>
          <w:b w:val="0"/>
          <w:i w:val="0"/>
        </w:rPr>
        <w:t xml:space="preserve"> is </w:t>
      </w:r>
      <w:r>
        <w:rPr>
          <w:b/>
          <w:i w:val="0"/>
        </w:rPr>
        <w:t>alpha-1A selective</w:t>
      </w:r>
      <w:r>
        <w:rPr>
          <w:b w:val="0"/>
          <w:i w:val="0"/>
        </w:rPr>
        <w:t xml:space="preserve">: it treats benign prostatic hyperplasia with </w:t>
      </w:r>
      <w:r>
        <w:rPr>
          <w:b/>
          <w:i w:val="0"/>
        </w:rPr>
        <w:t>limited vascular effect</w:t>
      </w:r>
      <w:r>
        <w:rPr>
          <w:b w:val="0"/>
          <w:i w:val="0"/>
        </w:rPr>
        <w:t>, because vascular receptors are alpha-1B. Its adverse effects are hypotension, dizziness and diarrhea.</w:t>
      </w:r>
    </w:p>
    <w:p>
      <w:pPr>
        <w:spacing w:after="120"/>
      </w:pPr>
      <w:r>
        <w:rPr>
          <w:b w:val="0"/>
          <w:i w:val="0"/>
        </w:rPr>
        <w:t>Also tested</w:t>
      </w:r>
    </w:p>
    <w:p>
      <w:pPr>
        <w:pStyle w:val="ListBullet"/>
        <w:spacing w:after="40"/>
      </w:pPr>
      <w:r>
        <w:rPr>
          <w:b/>
          <w:i w:val="0"/>
          <w:sz w:val="20"/>
        </w:rPr>
        <w:t>Prazosin reflex tachycardia.</w:t>
      </w:r>
      <w:r>
        <w:rPr>
          <w:b w:val="0"/>
          <w:i w:val="0"/>
          <w:sz w:val="20"/>
        </w:rPr>
        <w:t xml:space="preserve"> The reflex tachycardia with prazosin is mild, possibly because of some central sympatholytic activity and because prazosin dilates both arteries and veins.</w:t>
      </w:r>
    </w:p>
    <w:p>
      <w:pPr>
        <w:pStyle w:val="ListBullet"/>
        <w:spacing w:after="40"/>
      </w:pPr>
      <w:r>
        <w:rPr>
          <w:b/>
          <w:i w:val="0"/>
          <w:sz w:val="20"/>
        </w:rPr>
        <w:t>Alpha-1 blocker names.</w:t>
      </w:r>
      <w:r>
        <w:rPr>
          <w:b w:val="0"/>
          <w:i w:val="0"/>
          <w:sz w:val="20"/>
        </w:rPr>
        <w:t xml:space="preserve"> The -zosin suffix marks the alpha-1 selective antagonists prazosin, terazosin and doxazosin; tamsulosin is the alpha-1A selective agent.</w:t>
      </w:r>
    </w:p>
    <w:p>
      <w:pPr>
        <w:pStyle w:val="Heading2"/>
        <w:spacing w:before="200" w:after="100"/>
      </w:pPr>
      <w:r>
        <w:rPr>
          <w:rFonts w:ascii="Georgia" w:hAnsi="Georgia"/>
          <w:color w:val="6B3524"/>
        </w:rPr>
        <w:t>3.7 · Objectives 1–8 — Central sympatholytics</w:t>
      </w:r>
    </w:p>
    <w:p>
      <w:pPr>
        <w:spacing w:after="120"/>
      </w:pPr>
      <w:r>
        <w:rPr>
          <w:b/>
          <w:i w:val="0"/>
        </w:rPr>
        <w:t>Mechanism:</w:t>
      </w:r>
      <w:r>
        <w:rPr>
          <w:b w:val="0"/>
          <w:i w:val="0"/>
        </w:rPr>
        <w:t xml:space="preserve"> stimulation of postsynaptic </w:t>
      </w:r>
      <w:r>
        <w:rPr>
          <w:b/>
          <w:i w:val="0"/>
        </w:rPr>
        <w:t>alpha-2 (alpha-2A) receptors</w:t>
      </w:r>
      <w:r>
        <w:rPr>
          <w:b w:val="0"/>
          <w:i w:val="0"/>
        </w:rPr>
        <w:t xml:space="preserve">, and possibly imidazoline receptors, in the nucleus of the solitary tract and ventrolateral medulla, which lowers sympathetic outflow through the spinal cord and ganglia to the vessels and raises vagal output to the heart — so resistance, heart rate and cardiac output all fall. </w:t>
      </w:r>
      <w:r>
        <w:rPr>
          <w:b/>
          <w:i w:val="0"/>
        </w:rPr>
        <w:t>Advantages:</w:t>
      </w:r>
      <w:r>
        <w:rPr>
          <w:b w:val="0"/>
          <w:i w:val="0"/>
        </w:rPr>
        <w:t xml:space="preserve"> efficacy independent of age, race and gender; suitable for monotherapy; work well in the elderly; </w:t>
      </w:r>
      <w:r>
        <w:rPr>
          <w:b/>
          <w:i w:val="0"/>
        </w:rPr>
        <w:t>no negative effects on lipids</w:t>
      </w:r>
      <w:r>
        <w:rPr>
          <w:b w:val="0"/>
          <w:i w:val="0"/>
        </w:rPr>
        <w:t xml:space="preserve">. </w:t>
      </w:r>
      <w:r>
        <w:rPr>
          <w:b/>
          <w:i w:val="0"/>
        </w:rPr>
        <w:t>Class side effects:</w:t>
      </w:r>
      <w:r>
        <w:rPr>
          <w:b w:val="0"/>
          <w:i w:val="0"/>
        </w:rPr>
        <w:t xml:space="preserve"> drowsiness and sedation, dry mouth, sexual dysfunction, a </w:t>
      </w:r>
      <w:r>
        <w:rPr>
          <w:b/>
          <w:i w:val="0"/>
        </w:rPr>
        <w:t>narrow therapeutic range</w:t>
      </w:r>
      <w:r>
        <w:rPr>
          <w:b w:val="0"/>
          <w:i w:val="0"/>
        </w:rPr>
        <w:t xml:space="preserve">, and </w:t>
      </w:r>
      <w:r>
        <w:rPr>
          <w:b w:val="0"/>
          <w:i w:val="0"/>
          <w:highlight w:val="yellow"/>
        </w:rPr>
        <w:t>abrupt withdrawal hypertension</w:t>
      </w:r>
      <w:r>
        <w:rPr>
          <w:b w:val="0"/>
          <w:i w:val="0"/>
        </w:rPr>
        <w:t>.</w:t>
      </w:r>
    </w:p>
    <w:p>
      <w:pPr>
        <w:spacing w:after="120"/>
      </w:pPr>
      <w:r>
        <w:rPr>
          <w:b/>
          <w:i w:val="0"/>
        </w:rPr>
        <w:t>Clonidine (Catapres)</w:t>
      </w:r>
      <w:r>
        <w:rPr>
          <w:b w:val="0"/>
          <w:i w:val="0"/>
        </w:rPr>
        <w:t xml:space="preserve"> is an </w:t>
      </w:r>
      <w:r>
        <w:rPr>
          <w:b/>
          <w:i w:val="0"/>
        </w:rPr>
        <w:t>alpha-2 agonist and imidazoline agonist</w:t>
      </w:r>
      <w:r>
        <w:rPr>
          <w:b w:val="0"/>
          <w:i w:val="0"/>
        </w:rPr>
        <w:t xml:space="preserve">. It </w:t>
      </w:r>
      <w:r>
        <w:rPr>
          <w:b/>
          <w:i w:val="0"/>
        </w:rPr>
        <w:t>raises blood glucose by inhibiting insulin secretion</w:t>
      </w:r>
      <w:r>
        <w:rPr>
          <w:b w:val="0"/>
          <w:i w:val="0"/>
        </w:rPr>
        <w:t xml:space="preserve"> and lowers antidiuretic hormone secretion. It causes </w:t>
      </w:r>
      <w:r>
        <w:rPr>
          <w:b/>
          <w:i w:val="0"/>
        </w:rPr>
        <w:t>sodium retention, so it is often given with a diuretic</w:t>
      </w:r>
      <w:r>
        <w:rPr>
          <w:b w:val="0"/>
          <w:i w:val="0"/>
        </w:rPr>
        <w:t xml:space="preserve">, plus dry mouth, sedation, orthostatic hypotension, impotence, bradycardia and </w:t>
      </w:r>
      <w:r>
        <w:rPr>
          <w:b w:val="0"/>
          <w:i w:val="0"/>
          <w:highlight w:val="yellow"/>
        </w:rPr>
        <w:t>withdrawal reactions (may be severe)</w:t>
      </w:r>
      <w:r>
        <w:rPr>
          <w:b w:val="0"/>
          <w:i w:val="0"/>
        </w:rPr>
        <w:t xml:space="preserve">. Beyond blood pressure it has </w:t>
      </w:r>
      <w:r>
        <w:rPr>
          <w:b/>
          <w:i w:val="0"/>
        </w:rPr>
        <w:t>analgesic activity and blunts opiate withdrawal reactions</w:t>
      </w:r>
      <w:r>
        <w:rPr>
          <w:b w:val="0"/>
          <w:i w:val="0"/>
        </w:rPr>
        <w:t xml:space="preserve">. </w:t>
      </w:r>
      <w:r>
        <w:rPr>
          <w:b/>
          <w:i w:val="0"/>
        </w:rPr>
        <w:t>Guanfacine (Tenex)</w:t>
      </w:r>
      <w:r>
        <w:rPr>
          <w:b w:val="0"/>
          <w:i w:val="0"/>
        </w:rPr>
        <w:t xml:space="preserve"> is less potent, the </w:t>
      </w:r>
      <w:r>
        <w:rPr>
          <w:b/>
          <w:i w:val="0"/>
        </w:rPr>
        <w:t>most selective</w:t>
      </w:r>
      <w:r>
        <w:rPr>
          <w:b w:val="0"/>
          <w:i w:val="0"/>
        </w:rPr>
        <w:t xml:space="preserve"> for alpha-2 over alpha-1, </w:t>
      </w:r>
      <w:r>
        <w:rPr>
          <w:b/>
          <w:i w:val="0"/>
        </w:rPr>
        <w:t>less sedating</w:t>
      </w:r>
      <w:r>
        <w:rPr>
          <w:b w:val="0"/>
          <w:i w:val="0"/>
        </w:rPr>
        <w:t>, and only occasionally causes a withdrawal syndrome.</w:t>
      </w:r>
    </w:p>
    <w:p>
      <w:pPr>
        <w:spacing w:after="120"/>
      </w:pPr>
      <w:r>
        <w:rPr>
          <w:b/>
          <w:i w:val="0"/>
        </w:rPr>
        <w:t>The “do not stop abruptly” pair.</w:t>
      </w:r>
      <w:r>
        <w:rPr>
          <w:b w:val="0"/>
          <w:i w:val="0"/>
        </w:rPr>
        <w:t xml:space="preserve"> Beta blockers and clonidine are the two antihypertensives whose sudden withdrawal is dangerous — and they are often prescribed together, which is why their interaction is on the slide.</w:t>
      </w:r>
    </w:p>
    <w:p>
      <w:pPr>
        <w:spacing w:after="120"/>
      </w:pPr>
      <w:r>
        <w:rPr>
          <w:b w:val="0"/>
          <w:i w:val="0"/>
        </w:rPr>
        <w:t>Also tested</w:t>
      </w:r>
    </w:p>
    <w:p>
      <w:pPr>
        <w:pStyle w:val="ListBullet"/>
        <w:spacing w:after="40"/>
      </w:pPr>
      <w:r>
        <w:rPr>
          <w:b/>
          <w:i w:val="0"/>
          <w:sz w:val="20"/>
        </w:rPr>
        <w:t>Clonidine withdrawal.</w:t>
      </w:r>
      <w:r>
        <w:rPr>
          <w:b w:val="0"/>
          <w:i w:val="0"/>
          <w:sz w:val="20"/>
        </w:rPr>
        <w:t xml:space="preserve"> Abrupt withdrawal causes rebound hypertension, a class side effect that may be severe, so the drug must not be stopped suddenly.</w:t>
      </w:r>
    </w:p>
    <w:p>
      <w:pPr>
        <w:pStyle w:val="ListBullet"/>
        <w:spacing w:after="40"/>
      </w:pPr>
      <w:r>
        <w:rPr>
          <w:b/>
          <w:i w:val="0"/>
          <w:sz w:val="20"/>
        </w:rPr>
        <w:t>Clonidine.</w:t>
      </w:r>
      <w:r>
        <w:rPr>
          <w:b w:val="0"/>
          <w:i w:val="0"/>
          <w:sz w:val="20"/>
        </w:rPr>
        <w:t xml:space="preserve"> It lowers blood pressure by stimulating central alpha-2 receptors; as an alpha-2 and imidazoline agonist, it inhibits sympathetic outflow and increases parasympathetic activity.</w:t>
      </w:r>
    </w:p>
    <w:p>
      <w:pPr>
        <w:pStyle w:val="Heading2"/>
        <w:spacing w:before="200" w:after="100"/>
      </w:pPr>
      <w:r>
        <w:rPr>
          <w:rFonts w:ascii="Georgia" w:hAnsi="Georgia"/>
          <w:color w:val="6B3524"/>
        </w:rPr>
        <w:t>3.8 · Objectives 1–7 — Direct vasodilators</w:t>
      </w:r>
    </w:p>
    <w:p>
      <w:pPr>
        <w:spacing w:after="120"/>
      </w:pPr>
      <w:r>
        <w:rPr>
          <w:b w:val="0"/>
          <w:i w:val="0"/>
        </w:rPr>
        <w:t xml:space="preserve">They dilate arterioles directly and lower resistance, and the body fights back: reflex sympathetic activation brings tachycardia, higher cardiac output, fluid retention and more renin, which in turn produces </w:t>
      </w:r>
      <w:r>
        <w:rPr>
          <w:b/>
          <w:i w:val="0"/>
        </w:rPr>
        <w:t>tachyphylaxis</w:t>
      </w:r>
      <w:r>
        <w:rPr>
          <w:b w:val="0"/>
          <w:i w:val="0"/>
        </w:rPr>
        <w:t xml:space="preserve">. For chronic hypertension they are given with a diuretic and a beta blocker: </w:t>
      </w:r>
      <w:r>
        <w:rPr>
          <w:b/>
          <w:i w:val="0"/>
        </w:rPr>
        <w:t>hydralazine</w:t>
      </w:r>
      <w:r>
        <w:rPr>
          <w:b w:val="0"/>
          <w:i w:val="0"/>
        </w:rPr>
        <w:t xml:space="preserve">, and </w:t>
      </w:r>
      <w:r>
        <w:rPr>
          <w:b/>
          <w:i w:val="0"/>
        </w:rPr>
        <w:t>minoxidil as triple therapy for severe or refractory hypertension</w:t>
      </w:r>
      <w:r>
        <w:rPr>
          <w:b w:val="0"/>
          <w:i w:val="0"/>
        </w:rPr>
        <w:t xml:space="preserve">. </w:t>
      </w:r>
      <w:r>
        <w:rPr>
          <w:b/>
          <w:i w:val="0"/>
        </w:rPr>
        <w:t>Nitroprusside</w:t>
      </w:r>
      <w:r>
        <w:rPr>
          <w:b w:val="0"/>
          <w:i w:val="0"/>
        </w:rPr>
        <w:t xml:space="preserve">, by intravenous infusion, is for </w:t>
      </w:r>
      <w:r>
        <w:rPr>
          <w:b/>
          <w:i w:val="0"/>
        </w:rPr>
        <w:t>hypertensive crisis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6B3524"/>
          </w:tcPr>
          <w:p>
            <w:pPr>
              <w:spacing w:after="40"/>
            </w:pPr>
            <w:r>
              <w:rPr>
                <w:b/>
                <w:color w:val="FFFFFF"/>
                <w:sz w:val="18"/>
              </w:rPr>
            </w:r>
          </w:p>
        </w:tc>
        <w:tc>
          <w:tcPr>
            <w:tcW w:type="dxa" w:w="3636"/>
            <w:shd w:val="clear" w:color="auto" w:fill="6B3524"/>
          </w:tcPr>
          <w:p>
            <w:pPr>
              <w:spacing w:after="40"/>
            </w:pPr>
            <w:r>
              <w:rPr>
                <w:b/>
                <w:color w:val="FFFFFF"/>
                <w:sz w:val="18"/>
              </w:rPr>
            </w:r>
            <w:r>
              <w:rPr>
                <w:b/>
                <w:i w:val="0"/>
                <w:color w:val="FFFFFF"/>
                <w:sz w:val="18"/>
              </w:rPr>
              <w:t>Hydralazine</w:t>
            </w:r>
          </w:p>
        </w:tc>
        <w:tc>
          <w:tcPr>
            <w:tcW w:type="dxa" w:w="3636"/>
            <w:shd w:val="clear" w:color="auto" w:fill="6B3524"/>
          </w:tcPr>
          <w:p>
            <w:pPr>
              <w:spacing w:after="40"/>
            </w:pPr>
            <w:r>
              <w:rPr>
                <w:b/>
                <w:color w:val="FFFFFF"/>
                <w:sz w:val="18"/>
              </w:rPr>
            </w:r>
            <w:r>
              <w:rPr>
                <w:b/>
                <w:i w:val="0"/>
                <w:color w:val="FFFFFF"/>
                <w:sz w:val="18"/>
              </w:rPr>
              <w:t>Minoxidil</w:t>
            </w:r>
          </w:p>
        </w:tc>
        <w:tc>
          <w:tcPr>
            <w:tcW w:type="dxa" w:w="3636"/>
            <w:shd w:val="clear" w:color="auto" w:fill="6B3524"/>
          </w:tcPr>
          <w:p>
            <w:pPr>
              <w:spacing w:after="40"/>
            </w:pPr>
            <w:r>
              <w:rPr>
                <w:b/>
                <w:color w:val="FFFFFF"/>
                <w:sz w:val="18"/>
              </w:rPr>
            </w:r>
            <w:r>
              <w:rPr>
                <w:b/>
                <w:i w:val="0"/>
                <w:color w:val="FFFFFF"/>
                <w:sz w:val="18"/>
              </w:rPr>
              <w:t>Nitroprusside</w:t>
            </w:r>
          </w:p>
        </w:tc>
      </w:tr>
      <w:tr>
        <w:tc>
          <w:tcPr>
            <w:tcW w:type="dxa" w:w="3636"/>
          </w:tcPr>
          <w:p>
            <w:pPr>
              <w:spacing w:after="40"/>
            </w:pPr>
            <w:r>
              <w:rPr>
                <w:sz w:val="18"/>
              </w:rPr>
            </w:r>
            <w:r>
              <w:rPr>
                <w:b w:val="0"/>
                <w:i w:val="0"/>
                <w:sz w:val="18"/>
              </w:rPr>
              <w:t>Veins</w:t>
            </w:r>
          </w:p>
        </w:tc>
        <w:tc>
          <w:tcPr>
            <w:tcW w:type="dxa" w:w="3636"/>
          </w:tcPr>
          <w:p>
            <w:pPr>
              <w:spacing w:after="40"/>
            </w:pPr>
            <w:r>
              <w:rPr>
                <w:sz w:val="18"/>
              </w:rPr>
            </w:r>
            <w:r>
              <w:rPr>
                <w:b w:val="0"/>
                <w:i w:val="0"/>
                <w:sz w:val="18"/>
              </w:rPr>
              <w:t>No</w:t>
            </w:r>
          </w:p>
        </w:tc>
        <w:tc>
          <w:tcPr>
            <w:tcW w:type="dxa" w:w="3636"/>
          </w:tcPr>
          <w:p>
            <w:pPr>
              <w:spacing w:after="40"/>
            </w:pPr>
            <w:r>
              <w:rPr>
                <w:sz w:val="18"/>
              </w:rPr>
            </w:r>
            <w:r>
              <w:rPr>
                <w:b w:val="0"/>
                <w:i w:val="0"/>
                <w:sz w:val="18"/>
              </w:rPr>
              <w:t>No</w:t>
            </w:r>
          </w:p>
        </w:tc>
        <w:tc>
          <w:tcPr>
            <w:tcW w:type="dxa" w:w="3636"/>
          </w:tcPr>
          <w:p>
            <w:pPr>
              <w:spacing w:after="40"/>
            </w:pPr>
            <w:r>
              <w:rPr>
                <w:sz w:val="18"/>
              </w:rPr>
            </w:r>
            <w:r>
              <w:rPr>
                <w:b/>
                <w:i w:val="0"/>
                <w:sz w:val="18"/>
              </w:rPr>
              <w:t>Yes</w:t>
            </w:r>
            <w:r>
              <w:rPr>
                <w:b w:val="0"/>
                <w:i w:val="0"/>
                <w:sz w:val="18"/>
              </w:rPr>
              <w:t xml:space="preserve"> (veins and arterioles)</w:t>
            </w:r>
          </w:p>
        </w:tc>
      </w:tr>
      <w:tr>
        <w:tc>
          <w:tcPr>
            <w:tcW w:type="dxa" w:w="3636"/>
          </w:tcPr>
          <w:p>
            <w:pPr>
              <w:spacing w:after="40"/>
            </w:pPr>
            <w:r>
              <w:rPr>
                <w:sz w:val="18"/>
              </w:rPr>
            </w:r>
            <w:r>
              <w:rPr>
                <w:b w:val="0"/>
                <w:i w:val="0"/>
                <w:sz w:val="18"/>
              </w:rPr>
              <w:t>Arterioles</w:t>
            </w:r>
          </w:p>
        </w:tc>
        <w:tc>
          <w:tcPr>
            <w:tcW w:type="dxa" w:w="3636"/>
          </w:tcPr>
          <w:p>
            <w:pPr>
              <w:spacing w:after="40"/>
            </w:pPr>
            <w:r>
              <w:rPr>
                <w:sz w:val="18"/>
              </w:rPr>
            </w:r>
            <w:r>
              <w:rPr>
                <w:b w:val="0"/>
                <w:i w:val="0"/>
                <w:sz w:val="18"/>
              </w:rPr>
              <w:t>Yes</w:t>
            </w:r>
          </w:p>
        </w:tc>
        <w:tc>
          <w:tcPr>
            <w:tcW w:type="dxa" w:w="3636"/>
          </w:tcPr>
          <w:p>
            <w:pPr>
              <w:spacing w:after="40"/>
            </w:pPr>
            <w:r>
              <w:rPr>
                <w:sz w:val="18"/>
              </w:rPr>
            </w:r>
            <w:r>
              <w:rPr>
                <w:b/>
                <w:i w:val="0"/>
                <w:sz w:val="18"/>
              </w:rPr>
              <w:t>Most</w:t>
            </w:r>
          </w:p>
        </w:tc>
        <w:tc>
          <w:tcPr>
            <w:tcW w:type="dxa" w:w="3636"/>
          </w:tcPr>
          <w:p>
            <w:pPr>
              <w:spacing w:after="40"/>
            </w:pPr>
            <w:r>
              <w:rPr>
                <w:sz w:val="18"/>
              </w:rPr>
            </w:r>
            <w:r>
              <w:rPr>
                <w:b w:val="0"/>
                <w:i w:val="0"/>
                <w:sz w:val="18"/>
              </w:rPr>
              <w:t>Yes</w:t>
            </w:r>
          </w:p>
        </w:tc>
      </w:tr>
      <w:tr>
        <w:tc>
          <w:tcPr>
            <w:tcW w:type="dxa" w:w="3636"/>
          </w:tcPr>
          <w:p>
            <w:pPr>
              <w:spacing w:after="40"/>
            </w:pPr>
            <w:r>
              <w:rPr>
                <w:sz w:val="18"/>
              </w:rPr>
            </w:r>
            <w:r>
              <w:rPr>
                <w:b w:val="0"/>
                <w:i w:val="0"/>
                <w:sz w:val="18"/>
              </w:rPr>
              <w:t>Reflex tachycardia, sodium retention</w:t>
            </w:r>
          </w:p>
        </w:tc>
        <w:tc>
          <w:tcPr>
            <w:tcW w:type="dxa" w:w="3636"/>
          </w:tcPr>
          <w:p>
            <w:pPr>
              <w:spacing w:after="40"/>
            </w:pPr>
            <w:r>
              <w:rPr>
                <w:sz w:val="18"/>
              </w:rPr>
            </w:r>
            <w:r>
              <w:rPr>
                <w:b w:val="0"/>
                <w:i w:val="0"/>
                <w:sz w:val="18"/>
              </w:rPr>
              <w:t>Some</w:t>
            </w:r>
          </w:p>
        </w:tc>
        <w:tc>
          <w:tcPr>
            <w:tcW w:type="dxa" w:w="3636"/>
          </w:tcPr>
          <w:p>
            <w:pPr>
              <w:spacing w:after="40"/>
            </w:pPr>
            <w:r>
              <w:rPr>
                <w:sz w:val="18"/>
              </w:rPr>
            </w:r>
            <w:r>
              <w:rPr>
                <w:b/>
                <w:i w:val="0"/>
                <w:sz w:val="18"/>
              </w:rPr>
              <w:t>Most</w:t>
            </w:r>
          </w:p>
        </w:tc>
        <w:tc>
          <w:tcPr>
            <w:tcW w:type="dxa" w:w="3636"/>
          </w:tcPr>
          <w:p>
            <w:pPr>
              <w:spacing w:after="40"/>
            </w:pPr>
            <w:r>
              <w:rPr>
                <w:sz w:val="18"/>
              </w:rPr>
            </w:r>
            <w:r>
              <w:rPr>
                <w:b w:val="0"/>
                <w:i w:val="0"/>
                <w:sz w:val="18"/>
              </w:rPr>
              <w:t>Tachycardia some; sodium retention none</w:t>
            </w:r>
          </w:p>
        </w:tc>
      </w:tr>
      <w:tr>
        <w:tc>
          <w:tcPr>
            <w:tcW w:type="dxa" w:w="3636"/>
          </w:tcPr>
          <w:p>
            <w:pPr>
              <w:spacing w:after="40"/>
            </w:pPr>
            <w:r>
              <w:rPr>
                <w:sz w:val="18"/>
              </w:rPr>
            </w:r>
            <w:r>
              <w:rPr>
                <w:b w:val="0"/>
                <w:i w:val="0"/>
                <w:sz w:val="18"/>
              </w:rPr>
              <w:t>Mechanism</w:t>
            </w:r>
          </w:p>
        </w:tc>
        <w:tc>
          <w:tcPr>
            <w:tcW w:type="dxa" w:w="3636"/>
          </w:tcPr>
          <w:p>
            <w:pPr>
              <w:spacing w:after="40"/>
            </w:pPr>
            <w:r>
              <w:rPr>
                <w:sz w:val="18"/>
              </w:rPr>
            </w:r>
            <w:r>
              <w:rPr>
                <w:b w:val="0"/>
                <w:i w:val="0"/>
                <w:sz w:val="18"/>
              </w:rPr>
              <w:t>Not clear — raised cyclic GMP (nitric oxide), renal prostaglandins, interference with calcium</w:t>
            </w:r>
          </w:p>
        </w:tc>
        <w:tc>
          <w:tcPr>
            <w:tcW w:type="dxa" w:w="3636"/>
          </w:tcPr>
          <w:p>
            <w:pPr>
              <w:spacing w:after="40"/>
            </w:pPr>
            <w:r>
              <w:rPr>
                <w:sz w:val="18"/>
              </w:rPr>
            </w:r>
            <w:r>
              <w:rPr>
                <w:b/>
                <w:i w:val="0"/>
                <w:sz w:val="18"/>
              </w:rPr>
              <w:t>Opens ATP-modulated potassium channels</w:t>
            </w:r>
            <w:r>
              <w:rPr>
                <w:b w:val="0"/>
                <w:i w:val="0"/>
                <w:sz w:val="18"/>
              </w:rPr>
              <w:t xml:space="preserve"> → potassium efflux → hyperpolarization → relaxation</w:t>
            </w:r>
          </w:p>
        </w:tc>
        <w:tc>
          <w:tcPr>
            <w:tcW w:type="dxa" w:w="3636"/>
          </w:tcPr>
          <w:p>
            <w:pPr>
              <w:spacing w:after="40"/>
            </w:pPr>
            <w:r>
              <w:rPr>
                <w:sz w:val="18"/>
              </w:rPr>
            </w:r>
            <w:r>
              <w:rPr>
                <w:b w:val="0"/>
                <w:i w:val="0"/>
                <w:sz w:val="18"/>
              </w:rPr>
              <w:t xml:space="preserve">Releases </w:t>
            </w:r>
            <w:r>
              <w:rPr>
                <w:b/>
                <w:i w:val="0"/>
                <w:sz w:val="18"/>
              </w:rPr>
              <w:t>nitric oxide</w:t>
            </w:r>
            <w:r>
              <w:rPr>
                <w:b w:val="0"/>
                <w:i w:val="0"/>
                <w:sz w:val="18"/>
              </w:rPr>
              <w:t xml:space="preserve"> (one nitric oxide and five cyanide groups on iron) → cyclic GMP → less intracellular calcium</w:t>
            </w:r>
          </w:p>
        </w:tc>
      </w:tr>
    </w:tbl>
    <w:p>
      <w:pPr>
        <w:spacing w:after="80"/>
      </w:pPr>
    </w:p>
    <w:p>
      <w:pPr>
        <w:spacing w:after="120"/>
      </w:pPr>
      <w:r>
        <w:rPr>
          <w:b/>
          <w:i w:val="0"/>
        </w:rPr>
        <w:t>Hydralazine (Apresoline)</w:t>
      </w:r>
      <w:r>
        <w:rPr>
          <w:b w:val="0"/>
          <w:i w:val="0"/>
        </w:rPr>
        <w:t xml:space="preserve"> is </w:t>
      </w:r>
      <w:r>
        <w:rPr>
          <w:b w:val="0"/>
          <w:i w:val="0"/>
          <w:highlight w:val="yellow"/>
        </w:rPr>
        <w:t>N-acetylated in liver — fast and slow acetylators</w:t>
      </w:r>
      <w:r>
        <w:rPr>
          <w:b w:val="0"/>
          <w:i w:val="0"/>
        </w:rPr>
        <w:t xml:space="preserve">. Adverse effects: reflex rise in cardiac output and fluid volume; headache, dizziness, flushing; and a </w:t>
      </w:r>
      <w:r>
        <w:rPr>
          <w:b w:val="0"/>
          <w:i w:val="0"/>
          <w:highlight w:val="yellow"/>
        </w:rPr>
        <w:t>drug-induced “lupus syndrome” — high dose, long term, women, slow acetylators, Caucasians</w:t>
      </w:r>
      <w:r>
        <w:rPr>
          <w:b w:val="0"/>
          <w:i w:val="0"/>
        </w:rPr>
        <w:t xml:space="preserve">. </w:t>
      </w:r>
      <w:r>
        <w:rPr>
          <w:b/>
          <w:i w:val="0"/>
        </w:rPr>
        <w:t>Contraindicated in coronary artery disease, the elderly, and ischemia</w:t>
      </w:r>
      <w:r>
        <w:rPr>
          <w:b w:val="0"/>
          <w:i w:val="0"/>
        </w:rPr>
        <w:t xml:space="preserve">, because it adds sympathetic workload. Patient education: </w:t>
      </w:r>
      <w:r>
        <w:rPr>
          <w:b w:val="0"/>
          <w:i w:val="0"/>
          <w:highlight w:val="yellow"/>
        </w:rPr>
        <w:t>stools may turn black</w:t>
      </w:r>
      <w:r>
        <w:rPr>
          <w:b w:val="0"/>
          <w:i w:val="0"/>
        </w:rPr>
        <w:t xml:space="preserve"> — warn ahead of time about any drug that changes stool or urine color.</w:t>
      </w:r>
    </w:p>
    <w:p>
      <w:pPr>
        <w:spacing w:after="120"/>
      </w:pPr>
      <w:r>
        <w:rPr>
          <w:b/>
          <w:i w:val="0"/>
        </w:rPr>
        <w:t>Minoxidil (Loniten)</w:t>
      </w:r>
      <w:r>
        <w:rPr>
          <w:b w:val="0"/>
          <w:i w:val="0"/>
        </w:rPr>
        <w:t xml:space="preserve"> has the harshest reflexes (cardiac output two to three times, renin stimulated), so </w:t>
      </w:r>
      <w:r>
        <w:rPr>
          <w:b/>
          <w:i w:val="0"/>
        </w:rPr>
        <w:t>myocardial ischemia</w:t>
      </w:r>
      <w:r>
        <w:rPr>
          <w:b w:val="0"/>
          <w:i w:val="0"/>
        </w:rPr>
        <w:t xml:space="preserve">; </w:t>
      </w:r>
      <w:r>
        <w:rPr>
          <w:b/>
          <w:i w:val="0"/>
        </w:rPr>
        <w:t>arrhythmias</w:t>
      </w:r>
      <w:r>
        <w:rPr>
          <w:b w:val="0"/>
          <w:i w:val="0"/>
        </w:rPr>
        <w:t xml:space="preserve"> from its potassium channel action; and </w:t>
      </w:r>
      <w:r>
        <w:rPr>
          <w:b/>
          <w:i w:val="0"/>
        </w:rPr>
        <w:t>hypertrichosis</w:t>
      </w:r>
      <w:r>
        <w:rPr>
          <w:b w:val="0"/>
          <w:i w:val="0"/>
        </w:rPr>
        <w:t xml:space="preserve"> of the face, back, arms and legs. Rogaine is the topical form for hair growth, and </w:t>
      </w:r>
      <w:r>
        <w:rPr>
          <w:b/>
          <w:i w:val="0"/>
        </w:rPr>
        <w:t>may have cardiovascular effects</w:t>
      </w:r>
      <w:r>
        <w:rPr>
          <w:b w:val="0"/>
          <w:i w:val="0"/>
        </w:rPr>
        <w:t>.</w:t>
      </w:r>
    </w:p>
    <w:p>
      <w:pPr>
        <w:spacing w:after="120"/>
      </w:pPr>
      <w:r>
        <w:rPr>
          <w:b/>
          <w:i w:val="0"/>
        </w:rPr>
        <w:t>Nitroprusside (Nitropress)</w:t>
      </w:r>
      <w:r>
        <w:rPr>
          <w:b w:val="0"/>
          <w:i w:val="0"/>
        </w:rPr>
        <w:t xml:space="preserve"> toxicity comes from its cyanide groups. </w:t>
      </w:r>
      <w:r>
        <w:rPr>
          <w:b/>
          <w:i w:val="0"/>
        </w:rPr>
        <w:t>Cyanide toxicity</w:t>
      </w:r>
      <w:r>
        <w:rPr>
          <w:b w:val="0"/>
          <w:i w:val="0"/>
        </w:rPr>
        <w:t xml:space="preserve"> (trembling, vomiting, convulsions) is limited by giving </w:t>
      </w:r>
      <w:r>
        <w:rPr>
          <w:b/>
          <w:i w:val="0"/>
        </w:rPr>
        <w:t>sodium thiosulfate</w:t>
      </w:r>
      <w:r>
        <w:rPr>
          <w:b w:val="0"/>
          <w:i w:val="0"/>
        </w:rPr>
        <w:t xml:space="preserve">. </w:t>
      </w:r>
      <w:r>
        <w:rPr>
          <w:b/>
          <w:i w:val="0"/>
        </w:rPr>
        <w:t>Thiocyanate toxicity</w:t>
      </w:r>
      <w:r>
        <w:rPr>
          <w:b w:val="0"/>
          <w:i w:val="0"/>
        </w:rPr>
        <w:t xml:space="preserve"> (weakness, anoxia, tinnitus, muscle spasms, toxic psychosis) follows </w:t>
      </w:r>
      <w:r>
        <w:rPr>
          <w:b/>
          <w:i w:val="0"/>
        </w:rPr>
        <w:t>long infusions or renal failure</w:t>
      </w:r>
      <w:r>
        <w:rPr>
          <w:b w:val="0"/>
          <w:i w:val="0"/>
        </w:rPr>
        <w:t>.</w:t>
      </w:r>
    </w:p>
    <w:p>
      <w:pPr>
        <w:spacing w:after="120"/>
      </w:pPr>
      <w:r>
        <w:rPr>
          <w:b w:val="0"/>
          <w:i w:val="0"/>
        </w:rPr>
        <w:t>Also tested</w:t>
      </w:r>
    </w:p>
    <w:p>
      <w:pPr>
        <w:pStyle w:val="ListBullet"/>
        <w:spacing w:after="40"/>
      </w:pPr>
      <w:r>
        <w:rPr>
          <w:b/>
          <w:i w:val="0"/>
          <w:sz w:val="20"/>
        </w:rPr>
        <w:t>Hydralazine contraindications.</w:t>
      </w:r>
      <w:r>
        <w:rPr>
          <w:b w:val="0"/>
          <w:i w:val="0"/>
          <w:sz w:val="20"/>
        </w:rPr>
        <w:t xml:space="preserve"> It is contraindicated in coronary artery disease, the elderly and ischemia, because vasodilation with reflex sympathetic activation raises cardiac workload.</w:t>
      </w:r>
    </w:p>
    <w:p>
      <w:pPr>
        <w:pStyle w:val="ListBullet"/>
        <w:spacing w:after="40"/>
      </w:pPr>
      <w:r>
        <w:rPr>
          <w:b/>
          <w:i w:val="0"/>
          <w:sz w:val="20"/>
        </w:rPr>
        <w:t>Hydralazine mechanism.</w:t>
      </w:r>
      <w:r>
        <w:rPr>
          <w:b w:val="0"/>
          <w:i w:val="0"/>
          <w:sz w:val="20"/>
        </w:rPr>
        <w:t xml:space="preserve"> It is not fully understood; proposed actions include increased cyclic GMP (via nitric oxide), renal prostaglandins and interference with calcium movement.</w:t>
      </w:r>
    </w:p>
    <w:p>
      <w:pPr>
        <w:pStyle w:val="ListBullet"/>
        <w:spacing w:after="40"/>
      </w:pPr>
      <w:r>
        <w:rPr>
          <w:b/>
          <w:i w:val="0"/>
          <w:sz w:val="20"/>
        </w:rPr>
        <w:t>Direct vasodilators used alone.</w:t>
      </w:r>
      <w:r>
        <w:rPr>
          <w:b w:val="0"/>
          <w:i w:val="0"/>
          <w:sz w:val="20"/>
        </w:rPr>
        <w:t xml:space="preserve"> They lose effect over time because reflex responses cause tachyphylaxis: arteriolar dilation triggers reflex sympathetic activation (tachycardia, higher cardiac output, fluid retention, raised renin).</w:t>
      </w:r>
    </w:p>
    <w:p>
      <w:pPr>
        <w:pStyle w:val="Heading2"/>
        <w:spacing w:before="200" w:after="100"/>
      </w:pPr>
      <w:r>
        <w:rPr>
          <w:rFonts w:ascii="Georgia" w:hAnsi="Georgia"/>
          <w:color w:val="6B3524"/>
        </w:rPr>
        <w:t>3.9 · Objectives 9–10 — The treatment algorithm, monitoring and patient education</w:t>
      </w:r>
    </w:p>
    <w:p>
      <w:pPr>
        <w:spacing w:after="120"/>
      </w:pPr>
      <w:r>
        <w:rPr>
          <w:b w:val="0"/>
          <w:i w:val="0"/>
        </w:rPr>
        <w:t xml:space="preserve">Slide 108 is a picture of the management algorithm, and it is the deck’s only protocol content. </w:t>
      </w:r>
      <w:r>
        <w:rPr>
          <w:b/>
          <w:i w:val="0"/>
        </w:rPr>
        <w:t>Every motivated patient gets lifestyle counseling first.</w:t>
      </w:r>
      <w:r>
        <w:rPr>
          <w:b w:val="0"/>
          <w:i w:val="0"/>
        </w:rPr>
        <w:t xml:space="preserve"> Then:</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pStyle w:val="ListNumber"/>
              <w:spacing w:after="40"/>
            </w:pPr>
            <w:r>
              <w:rPr>
                <w:b/>
                <w:i w:val="0"/>
                <w:sz w:val="20"/>
              </w:rPr>
              <w:t>Systolic more than 20 mmHg, or diastolic more than 10 mmHg, above goal?</w:t>
            </w:r>
            <w:r>
              <w:rPr>
                <w:b w:val="0"/>
                <w:i w:val="0"/>
                <w:sz w:val="20"/>
              </w:rPr>
              <w:t xml:space="preserve"> → </w:t>
            </w:r>
            <w:r>
              <w:rPr>
                <w:b w:val="0"/>
                <w:i w:val="0"/>
                <w:sz w:val="20"/>
                <w:highlight w:val="yellow"/>
              </w:rPr>
              <w:t>Initiate an ACE inhibitor (or ARB) plus a dihydropyridine calcium channel blocker</w:t>
            </w:r>
            <w:r>
              <w:rPr>
                <w:b w:val="0"/>
                <w:i w:val="0"/>
                <w:sz w:val="20"/>
              </w:rPr>
              <w:t xml:space="preserve"> (ARB = angiotensin receptor blocker). Uncontrolled → </w:t>
            </w:r>
            <w:r>
              <w:rPr>
                <w:b w:val="0"/>
                <w:i w:val="0"/>
                <w:sz w:val="20"/>
                <w:highlight w:val="yellow"/>
              </w:rPr>
              <w:t>add a thiazide-like diuretic</w:t>
            </w:r>
            <w:r>
              <w:rPr>
                <w:b w:val="0"/>
                <w:i w:val="0"/>
                <w:sz w:val="20"/>
              </w:rPr>
              <w:t>.</w:t>
            </w:r>
          </w:p>
          <w:p>
            <w:pPr>
              <w:pStyle w:val="ListNumber"/>
              <w:spacing w:after="40"/>
            </w:pPr>
            <w:r>
              <w:rPr>
                <w:b w:val="0"/>
                <w:i w:val="0"/>
                <w:sz w:val="20"/>
              </w:rPr>
              <w:t xml:space="preserve">Not that far above goal, with </w:t>
            </w:r>
            <w:r>
              <w:rPr>
                <w:b/>
                <w:i w:val="0"/>
                <w:sz w:val="20"/>
              </w:rPr>
              <w:t>urine albumin-to-creatinine ratio 300 mg/g or more</w:t>
            </w:r>
            <w:r>
              <w:rPr>
                <w:b w:val="0"/>
                <w:i w:val="0"/>
                <w:sz w:val="20"/>
              </w:rPr>
              <w:t xml:space="preserve"> → </w:t>
            </w:r>
            <w:r>
              <w:rPr>
                <w:b w:val="0"/>
                <w:i w:val="0"/>
                <w:sz w:val="20"/>
                <w:highlight w:val="yellow"/>
              </w:rPr>
              <w:t>initiate an ACE inhibitor (or ARB)</w:t>
            </w:r>
            <w:r>
              <w:rPr>
                <w:b w:val="0"/>
                <w:i w:val="0"/>
                <w:sz w:val="20"/>
              </w:rPr>
              <w:t>.</w:t>
            </w:r>
          </w:p>
          <w:p>
            <w:pPr>
              <w:pStyle w:val="ListNumber"/>
              <w:spacing w:after="40"/>
            </w:pPr>
            <w:r>
              <w:rPr>
                <w:b w:val="0"/>
                <w:i w:val="0"/>
                <w:sz w:val="20"/>
              </w:rPr>
              <w:t xml:space="preserve">Otherwise → an ACE inhibitor (or angiotensin receptor blocker) </w:t>
            </w:r>
            <w:r>
              <w:rPr>
                <w:b/>
                <w:i w:val="0"/>
                <w:sz w:val="20"/>
              </w:rPr>
              <w:t>or</w:t>
            </w:r>
            <w:r>
              <w:rPr>
                <w:b w:val="0"/>
                <w:i w:val="0"/>
                <w:sz w:val="20"/>
              </w:rPr>
              <w:t xml:space="preserve"> a dihydropyridine calcium channel blocker.</w:t>
            </w:r>
          </w:p>
          <w:p>
            <w:pPr>
              <w:pStyle w:val="ListNumber"/>
              <w:spacing w:after="40"/>
            </w:pPr>
            <w:r>
              <w:rPr>
                <w:b w:val="0"/>
                <w:i w:val="0"/>
                <w:sz w:val="20"/>
              </w:rPr>
              <w:t xml:space="preserve">Still uncontrolled → combine an ACE inhibitor (or angiotensin receptor blocker) </w:t>
            </w:r>
            <w:r>
              <w:rPr>
                <w:b/>
                <w:i w:val="0"/>
                <w:sz w:val="20"/>
              </w:rPr>
              <w:t>with</w:t>
            </w:r>
            <w:r>
              <w:rPr>
                <w:b w:val="0"/>
                <w:i w:val="0"/>
                <w:sz w:val="20"/>
              </w:rPr>
              <w:t xml:space="preserve"> a dihydropyridine → then add a thiazide-like diuretic → then “apparent resistant hypertension”.</w:t>
            </w:r>
          </w:p>
          <w:p>
            <w:pPr>
              <w:spacing w:after="120"/>
            </w:pPr>
            <w:r>
              <w:rPr>
                <w:b w:val="0"/>
                <w:i w:val="0"/>
              </w:rPr>
              <w:t xml:space="preserve">Note the </w:t>
            </w:r>
            <w:r>
              <w:rPr>
                <w:b/>
                <w:i w:val="0"/>
              </w:rPr>
              <w:t>or</w:t>
            </w:r>
            <w:r>
              <w:rPr>
                <w:b w:val="0"/>
                <w:i w:val="0"/>
              </w:rPr>
              <w:t xml:space="preserve">: an ACE inhibitor </w:t>
            </w:r>
            <w:r>
              <w:rPr>
                <w:b w:val="0"/>
                <w:i/>
              </w:rPr>
              <w:t>or</w:t>
            </w:r>
            <w:r>
              <w:rPr>
                <w:b w:val="0"/>
                <w:i w:val="0"/>
              </w:rPr>
              <w:t xml:space="preserve"> an angiotensin receptor blocker, never both together. He caught himself saying “ACEs and ARBs” and corrected it.</w:t>
            </w:r>
          </w:p>
        </w:tc>
      </w:tr>
    </w:tbl>
    <w:p>
      <w:pPr>
        <w:spacing w:after="80"/>
      </w:pPr>
    </w:p>
    <w:p>
      <w:pPr>
        <w:spacing w:after="120"/>
      </w:pPr>
      <w:r>
        <w:rPr>
          <w:b/>
          <w:i w:val="0"/>
        </w:rPr>
        <w:t>Reasons to reach for another class earlier</w:t>
      </w:r>
      <w:r>
        <w:rPr>
          <w:b w:val="0"/>
          <w:i w:val="0"/>
        </w:rPr>
        <w:t xml:space="preserve"> (inset 1): a </w:t>
      </w:r>
      <w:r>
        <w:rPr>
          <w:b/>
          <w:i w:val="0"/>
        </w:rPr>
        <w:t>beta blocker</w:t>
      </w:r>
      <w:r>
        <w:rPr>
          <w:b w:val="0"/>
          <w:i w:val="0"/>
        </w:rPr>
        <w:t xml:space="preserve"> should generally be used first after a </w:t>
      </w:r>
      <w:r>
        <w:rPr>
          <w:b/>
          <w:i w:val="0"/>
        </w:rPr>
        <w:t>myocardial infarction</w:t>
      </w:r>
      <w:r>
        <w:rPr>
          <w:b w:val="0"/>
          <w:i w:val="0"/>
        </w:rPr>
        <w:t>, and beta blockers are among the first drugs in heart failure with reduced ejection fraction. (The diuretic, mineralocorticoid-antagonist and heart-failure indications on the same inset belong to Lecture 9.) Beta blockers, non-dihydropyridines and alpha blockers are otherwise for these compelling indications, not first line.</w:t>
      </w:r>
    </w:p>
    <w:p>
      <w:pPr>
        <w:spacing w:after="120"/>
      </w:pPr>
      <w:r>
        <w:rPr>
          <w:b/>
          <w:i w:val="0"/>
        </w:rPr>
        <w:t>Monitoring</w:t>
      </w:r>
      <w:r>
        <w:rPr>
          <w:b w:val="0"/>
          <w:i w:val="0"/>
        </w:rPr>
        <w:t xml:space="preserve"> (inset 2): </w:t>
      </w:r>
      <w:r>
        <w:rPr>
          <w:b/>
          <w:i w:val="0"/>
        </w:rPr>
        <w:t>reassess blood pressure about 4 weeks</w:t>
      </w:r>
      <w:r>
        <w:rPr>
          <w:b w:val="0"/>
          <w:i w:val="0"/>
        </w:rPr>
        <w:t xml:space="preserve"> after starting or titrating; one or two titration steps before changing or adding a drug, because pushing a drug to its maximum adds adverse effects for diminishing benefit. When therapy seems to fail, the commonest causes are </w:t>
      </w:r>
      <w:r>
        <w:rPr>
          <w:b/>
          <w:i w:val="0"/>
        </w:rPr>
        <w:t>(1) medication nonadherence, (2) the white coat effect, (3) improper blood pressure measurement</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Class or drug</w:t>
            </w:r>
          </w:p>
        </w:tc>
        <w:tc>
          <w:tcPr>
            <w:tcW w:type="dxa" w:w="7272"/>
            <w:shd w:val="clear" w:color="auto" w:fill="6B3524"/>
          </w:tcPr>
          <w:p>
            <w:pPr>
              <w:spacing w:after="40"/>
            </w:pPr>
            <w:r>
              <w:rPr>
                <w:b/>
                <w:color w:val="FFFFFF"/>
                <w:sz w:val="18"/>
              </w:rPr>
            </w:r>
            <w:r>
              <w:rPr>
                <w:b/>
                <w:i w:val="0"/>
                <w:color w:val="FFFFFF"/>
                <w:sz w:val="18"/>
              </w:rPr>
              <w:t>Patient education the slides support</w:t>
            </w:r>
          </w:p>
        </w:tc>
      </w:tr>
      <w:tr>
        <w:tc>
          <w:tcPr>
            <w:tcW w:type="dxa" w:w="7272"/>
          </w:tcPr>
          <w:p>
            <w:pPr>
              <w:spacing w:after="40"/>
            </w:pPr>
            <w:r>
              <w:rPr>
                <w:sz w:val="18"/>
              </w:rPr>
            </w:r>
            <w:r>
              <w:rPr>
                <w:b w:val="0"/>
                <w:i w:val="0"/>
                <w:sz w:val="18"/>
              </w:rPr>
              <w:t>ACE inhibitors</w:t>
            </w:r>
          </w:p>
        </w:tc>
        <w:tc>
          <w:tcPr>
            <w:tcW w:type="dxa" w:w="7272"/>
          </w:tcPr>
          <w:p>
            <w:pPr>
              <w:spacing w:after="40"/>
            </w:pPr>
            <w:r>
              <w:rPr>
                <w:sz w:val="18"/>
              </w:rPr>
            </w:r>
            <w:r>
              <w:rPr>
                <w:b w:val="0"/>
                <w:i w:val="0"/>
                <w:sz w:val="18"/>
              </w:rPr>
              <w:t>A dry cough may appear weeks to months in — report it; report swelling of the lips, tongue or throat at once (angioedema, usually in the first week); no potassium supplements or salt substitutes; not in pregnancy (2nd and 3rd trimesters)</w:t>
            </w:r>
          </w:p>
        </w:tc>
      </w:tr>
      <w:tr>
        <w:tc>
          <w:tcPr>
            <w:tcW w:type="dxa" w:w="7272"/>
          </w:tcPr>
          <w:p>
            <w:pPr>
              <w:spacing w:after="40"/>
            </w:pPr>
            <w:r>
              <w:rPr>
                <w:sz w:val="18"/>
              </w:rPr>
            </w:r>
            <w:r>
              <w:rPr>
                <w:b w:val="0"/>
                <w:i w:val="0"/>
                <w:sz w:val="18"/>
              </w:rPr>
              <w:t>Angiotensin receptor blockers</w:t>
            </w:r>
          </w:p>
        </w:tc>
        <w:tc>
          <w:tcPr>
            <w:tcW w:type="dxa" w:w="7272"/>
          </w:tcPr>
          <w:p>
            <w:pPr>
              <w:spacing w:after="40"/>
            </w:pPr>
            <w:r>
              <w:rPr>
                <w:sz w:val="18"/>
              </w:rPr>
            </w:r>
            <w:r>
              <w:rPr>
                <w:b w:val="0"/>
                <w:i w:val="0"/>
                <w:sz w:val="18"/>
              </w:rPr>
              <w:t>Same potassium and pregnancy warnings; no cough</w:t>
            </w:r>
          </w:p>
        </w:tc>
      </w:tr>
      <w:tr>
        <w:tc>
          <w:tcPr>
            <w:tcW w:type="dxa" w:w="7272"/>
          </w:tcPr>
          <w:p>
            <w:pPr>
              <w:spacing w:after="40"/>
            </w:pPr>
            <w:r>
              <w:rPr>
                <w:sz w:val="18"/>
              </w:rPr>
            </w:r>
            <w:r>
              <w:rPr>
                <w:b w:val="0"/>
                <w:i w:val="0"/>
                <w:sz w:val="18"/>
              </w:rPr>
              <w:t>Calcium channel blockers</w:t>
            </w:r>
          </w:p>
        </w:tc>
        <w:tc>
          <w:tcPr>
            <w:tcW w:type="dxa" w:w="7272"/>
          </w:tcPr>
          <w:p>
            <w:pPr>
              <w:spacing w:after="40"/>
            </w:pPr>
            <w:r>
              <w:rPr>
                <w:sz w:val="18"/>
              </w:rPr>
            </w:r>
            <w:r>
              <w:rPr>
                <w:b w:val="0"/>
                <w:i w:val="0"/>
                <w:sz w:val="18"/>
              </w:rPr>
              <w:t>Peripheral edema, flushing, headache; constipation; gum overgrowth (gingival hyperplasia)</w:t>
            </w:r>
          </w:p>
        </w:tc>
      </w:tr>
      <w:tr>
        <w:tc>
          <w:tcPr>
            <w:tcW w:type="dxa" w:w="7272"/>
          </w:tcPr>
          <w:p>
            <w:pPr>
              <w:spacing w:after="40"/>
            </w:pPr>
            <w:r>
              <w:rPr>
                <w:sz w:val="18"/>
              </w:rPr>
            </w:r>
            <w:r>
              <w:rPr>
                <w:b w:val="0"/>
                <w:i w:val="0"/>
                <w:sz w:val="18"/>
              </w:rPr>
              <w:t>Beta blockers</w:t>
            </w:r>
          </w:p>
        </w:tc>
        <w:tc>
          <w:tcPr>
            <w:tcW w:type="dxa" w:w="7272"/>
          </w:tcPr>
          <w:p>
            <w:pPr>
              <w:spacing w:after="40"/>
            </w:pPr>
            <w:r>
              <w:rPr>
                <w:sz w:val="18"/>
              </w:rPr>
            </w:r>
            <w:r>
              <w:rPr>
                <w:b/>
                <w:i w:val="0"/>
                <w:sz w:val="18"/>
              </w:rPr>
              <w:t>Never stop suddenly</w:t>
            </w:r>
            <w:r>
              <w:rPr>
                <w:b w:val="0"/>
                <w:i w:val="0"/>
                <w:sz w:val="18"/>
              </w:rPr>
              <w:t>; in diabetes the warning signs of low blood sugar may be hidden; fatigue and reduced exercise tolerance</w:t>
            </w:r>
          </w:p>
        </w:tc>
      </w:tr>
      <w:tr>
        <w:tc>
          <w:tcPr>
            <w:tcW w:type="dxa" w:w="7272"/>
          </w:tcPr>
          <w:p>
            <w:pPr>
              <w:spacing w:after="40"/>
            </w:pPr>
            <w:r>
              <w:rPr>
                <w:sz w:val="18"/>
              </w:rPr>
            </w:r>
            <w:r>
              <w:rPr>
                <w:b w:val="0"/>
                <w:i w:val="0"/>
                <w:sz w:val="18"/>
              </w:rPr>
              <w:t>Alpha-1 blockers</w:t>
            </w:r>
          </w:p>
        </w:tc>
        <w:tc>
          <w:tcPr>
            <w:tcW w:type="dxa" w:w="7272"/>
          </w:tcPr>
          <w:p>
            <w:pPr>
              <w:spacing w:after="40"/>
            </w:pPr>
            <w:r>
              <w:rPr>
                <w:sz w:val="18"/>
              </w:rPr>
            </w:r>
            <w:r>
              <w:rPr>
                <w:b w:val="0"/>
                <w:i w:val="0"/>
                <w:sz w:val="18"/>
              </w:rPr>
              <w:t>Dizziness on standing</w:t>
            </w:r>
          </w:p>
        </w:tc>
      </w:tr>
      <w:tr>
        <w:tc>
          <w:tcPr>
            <w:tcW w:type="dxa" w:w="7272"/>
          </w:tcPr>
          <w:p>
            <w:pPr>
              <w:spacing w:after="40"/>
            </w:pPr>
            <w:r>
              <w:rPr>
                <w:sz w:val="18"/>
              </w:rPr>
            </w:r>
            <w:r>
              <w:rPr>
                <w:b w:val="0"/>
                <w:i w:val="0"/>
                <w:sz w:val="18"/>
              </w:rPr>
              <w:t>Clonidine</w:t>
            </w:r>
          </w:p>
        </w:tc>
        <w:tc>
          <w:tcPr>
            <w:tcW w:type="dxa" w:w="7272"/>
          </w:tcPr>
          <w:p>
            <w:pPr>
              <w:spacing w:after="40"/>
            </w:pPr>
            <w:r>
              <w:rPr>
                <w:sz w:val="18"/>
              </w:rPr>
            </w:r>
            <w:r>
              <w:rPr>
                <w:b/>
                <w:i w:val="0"/>
                <w:sz w:val="18"/>
              </w:rPr>
              <w:t>Never stop suddenly</w:t>
            </w:r>
            <w:r>
              <w:rPr>
                <w:b w:val="0"/>
                <w:i w:val="0"/>
                <w:sz w:val="18"/>
              </w:rPr>
              <w:t>; drowsiness and dry mouth</w:t>
            </w:r>
          </w:p>
        </w:tc>
      </w:tr>
      <w:tr>
        <w:tc>
          <w:tcPr>
            <w:tcW w:type="dxa" w:w="7272"/>
          </w:tcPr>
          <w:p>
            <w:pPr>
              <w:spacing w:after="40"/>
            </w:pPr>
            <w:r>
              <w:rPr>
                <w:sz w:val="18"/>
              </w:rPr>
            </w:r>
            <w:r>
              <w:rPr>
                <w:b w:val="0"/>
                <w:i w:val="0"/>
                <w:sz w:val="18"/>
              </w:rPr>
              <w:t>Hydralazine</w:t>
            </w:r>
          </w:p>
        </w:tc>
        <w:tc>
          <w:tcPr>
            <w:tcW w:type="dxa" w:w="7272"/>
          </w:tcPr>
          <w:p>
            <w:pPr>
              <w:spacing w:after="40"/>
            </w:pPr>
            <w:r>
              <w:rPr>
                <w:sz w:val="18"/>
              </w:rPr>
            </w:r>
            <w:r>
              <w:rPr>
                <w:b w:val="0"/>
                <w:i w:val="0"/>
                <w:sz w:val="18"/>
              </w:rPr>
              <w:t>Stools may turn black</w:t>
            </w:r>
          </w:p>
        </w:tc>
      </w:tr>
      <w:tr>
        <w:tc>
          <w:tcPr>
            <w:tcW w:type="dxa" w:w="7272"/>
          </w:tcPr>
          <w:p>
            <w:pPr>
              <w:spacing w:after="40"/>
            </w:pPr>
            <w:r>
              <w:rPr>
                <w:sz w:val="18"/>
              </w:rPr>
            </w:r>
            <w:r>
              <w:rPr>
                <w:b w:val="0"/>
                <w:i w:val="0"/>
                <w:sz w:val="18"/>
              </w:rPr>
              <w:t>Minoxidil</w:t>
            </w:r>
          </w:p>
        </w:tc>
        <w:tc>
          <w:tcPr>
            <w:tcW w:type="dxa" w:w="7272"/>
          </w:tcPr>
          <w:p>
            <w:pPr>
              <w:spacing w:after="40"/>
            </w:pPr>
            <w:r>
              <w:rPr>
                <w:sz w:val="18"/>
              </w:rPr>
            </w:r>
            <w:r>
              <w:rPr>
                <w:b w:val="0"/>
                <w:i w:val="0"/>
                <w:sz w:val="18"/>
              </w:rPr>
              <w:t>Unwanted hair growth</w:t>
            </w:r>
          </w:p>
        </w:tc>
      </w:tr>
    </w:tbl>
    <w:p>
      <w:pPr>
        <w:spacing w:after="80"/>
      </w:pPr>
    </w:p>
    <w:p>
      <w:pPr>
        <w:spacing w:after="120"/>
      </w:pPr>
      <w:r>
        <w:rPr>
          <w:b w:val="0"/>
          <w:i w:val="0"/>
        </w:rPr>
        <w:t>Also tested</w:t>
      </w:r>
    </w:p>
    <w:p>
      <w:pPr>
        <w:pStyle w:val="ListBullet"/>
        <w:spacing w:after="40"/>
      </w:pPr>
      <w:r>
        <w:rPr>
          <w:b/>
          <w:i w:val="0"/>
          <w:sz w:val="20"/>
        </w:rPr>
        <w:t>Reassessing blood pressure control.</w:t>
      </w:r>
      <w:r>
        <w:rPr>
          <w:b w:val="0"/>
          <w:i w:val="0"/>
          <w:sz w:val="20"/>
        </w:rPr>
        <w:t xml:space="preserve"> Reassess about 4 weeks after starting or titrating an antihypertensive. One or two titration steps are appropriate before modifying or adding medication.</w:t>
      </w:r>
    </w:p>
    <w:p>
      <w:pPr>
        <w:pStyle w:val="ListBullet"/>
        <w:spacing w:after="40"/>
      </w:pPr>
      <w:r>
        <w:rPr>
          <w:b/>
          <w:i w:val="0"/>
          <w:sz w:val="20"/>
        </w:rPr>
        <w:t>Hypertension after a myocardial infarction.</w:t>
      </w:r>
      <w:r>
        <w:rPr>
          <w:b w:val="0"/>
          <w:i w:val="0"/>
          <w:sz w:val="20"/>
        </w:rPr>
        <w:t xml:space="preserve"> A history of myocardial infarction is a reason to start a beta blocker early, because beta blockade protects ischemic myocardium and protects against recurrent infarction.</w:t>
      </w:r>
    </w:p>
    <w:p>
      <w:pPr>
        <w:pStyle w:val="Heading1"/>
        <w:spacing w:before="280" w:after="100"/>
      </w:pPr>
      <w:r>
        <w:rPr>
          <w:rFonts w:ascii="Georgia" w:hAnsi="Georgia"/>
          <w:color w:val="6B3524"/>
        </w:rPr>
        <w:t>4 · Drugs that Lower Cholesterol and Triglyceride Levels</w:t>
      </w:r>
    </w:p>
    <w:p>
      <w:pPr>
        <w:spacing w:after="120"/>
      </w:pPr>
      <w:r>
        <w:rPr>
          <w:b w:val="0"/>
          <w:i w:val="0"/>
        </w:rPr>
        <w:t>Adam Wood, Pharm.D., DABAT</w:t>
      </w:r>
    </w:p>
    <w:tbl>
      <w:tblPr>
        <w:tblW w:type="auto" w:w="0"/>
        <w:tblLook w:firstColumn="1" w:firstRow="1" w:lastColumn="0" w:lastRow="0" w:noHBand="0" w:noVBand="1" w:val="04A0"/>
        <w:tblBorders>
          <w:top w:val="single" w:sz="8" w:space="0" w:color="6B3524"/>
          <w:left w:val="single" w:sz="8" w:space="0" w:color="6B3524"/>
          <w:bottom w:val="single" w:sz="8" w:space="0" w:color="6B3524"/>
          <w:right w:val="single" w:sz="8" w:space="0" w:color="6B3524"/>
          <w:insideH w:val="single" w:sz="8" w:space="0" w:color="6B3524"/>
          <w:insideV w:val="single" w:sz="8" w:space="0" w:color="6B3524"/>
        </w:tblBorders>
      </w:tblPr>
      <w:tblGrid>
        <w:gridCol w:w="14544"/>
      </w:tblGrid>
      <w:tr>
        <w:tc>
          <w:tcPr>
            <w:tcW w:type="dxa" w:w="14544"/>
            <w:shd w:val="clear" w:color="auto" w:fill="EEF5F4"/>
          </w:tcPr>
          <w:p>
            <w:pPr>
              <w:spacing w:after="80"/>
            </w:pPr>
            <w:r>
              <w:rPr>
                <w:b/>
                <w:color w:val="6B3524"/>
                <w:sz w:val="18"/>
              </w:rPr>
              <w:t>INSTRUCTIONAL OBJECTIVES</w:t>
            </w:r>
          </w:p>
          <w:p>
            <w:pPr>
              <w:pStyle w:val="ListNumber"/>
              <w:spacing w:after="40"/>
            </w:pPr>
            <w:r>
              <w:rPr>
                <w:b w:val="0"/>
                <w:i w:val="0"/>
                <w:sz w:val="20"/>
              </w:rPr>
              <w:t>Identify drug classes and commonly prescribed drugs that lower cholesterol and triglyceride levels.</w:t>
            </w:r>
          </w:p>
          <w:p>
            <w:pPr>
              <w:pStyle w:val="ListNumber"/>
              <w:spacing w:after="40"/>
            </w:pPr>
            <w:r>
              <w:rPr>
                <w:b w:val="0"/>
                <w:i w:val="0"/>
                <w:sz w:val="20"/>
              </w:rPr>
              <w:t>Describe the molecular mechanism of action of drugs that lower cholesterol and triglyceride levels.</w:t>
            </w:r>
          </w:p>
          <w:p>
            <w:pPr>
              <w:pStyle w:val="ListNumber"/>
              <w:spacing w:after="40"/>
            </w:pPr>
            <w:r>
              <w:rPr>
                <w:b w:val="0"/>
                <w:i w:val="0"/>
                <w:sz w:val="20"/>
              </w:rPr>
              <w:t>Identify indications for commonly used drugs that lower cholesterol and triglyceride levels.</w:t>
            </w:r>
          </w:p>
          <w:p>
            <w:pPr>
              <w:pStyle w:val="ListNumber"/>
              <w:spacing w:after="40"/>
            </w:pPr>
            <w:r>
              <w:rPr>
                <w:b w:val="0"/>
                <w:i w:val="0"/>
                <w:sz w:val="20"/>
              </w:rPr>
              <w:t>Describe absorption, distribution, metabolism, and excretion of drugs that lower cholesterol and triglyceride levels.</w:t>
            </w:r>
          </w:p>
          <w:p>
            <w:pPr>
              <w:pStyle w:val="ListNumber"/>
              <w:spacing w:after="40"/>
            </w:pPr>
            <w:r>
              <w:rPr>
                <w:b w:val="0"/>
                <w:i w:val="0"/>
                <w:sz w:val="20"/>
              </w:rPr>
              <w:t>Summarize side effects and toxic manifestations of drugs that lower cholesterol and triglyceride levels.</w:t>
            </w:r>
          </w:p>
          <w:p>
            <w:pPr>
              <w:pStyle w:val="ListNumber"/>
              <w:spacing w:after="40"/>
            </w:pPr>
            <w:r>
              <w:rPr>
                <w:b w:val="0"/>
                <w:i w:val="0"/>
                <w:sz w:val="20"/>
              </w:rPr>
              <w:t>Describe adverse effects of drugs that lower cholesterol and triglyceride levels.</w:t>
            </w:r>
          </w:p>
          <w:p>
            <w:pPr>
              <w:pStyle w:val="ListNumber"/>
              <w:spacing w:after="40"/>
            </w:pPr>
            <w:r>
              <w:rPr>
                <w:b w:val="0"/>
                <w:i w:val="0"/>
                <w:sz w:val="20"/>
              </w:rPr>
              <w:t>Identify contraindications for drugs that lower cholesterol and triglyceride levels.</w:t>
            </w:r>
          </w:p>
          <w:p>
            <w:pPr>
              <w:pStyle w:val="ListNumber"/>
              <w:spacing w:after="40"/>
            </w:pPr>
            <w:r>
              <w:rPr>
                <w:b w:val="0"/>
                <w:i w:val="0"/>
                <w:sz w:val="20"/>
              </w:rPr>
              <w:t>Discuss potential drug-drug, drug-food, and drug-herb interactions with drugs that lower cholesterol and triglyceride levels.</w:t>
            </w:r>
          </w:p>
          <w:p>
            <w:pPr>
              <w:pStyle w:val="ListNumber"/>
              <w:spacing w:after="40"/>
            </w:pPr>
            <w:r>
              <w:rPr>
                <w:b w:val="0"/>
                <w:i w:val="0"/>
                <w:sz w:val="20"/>
              </w:rPr>
              <w:t>List commonly used protocols and patient monitoring for drugs that lower cholesterol and triglyceride levels.</w:t>
            </w:r>
          </w:p>
          <w:p>
            <w:pPr>
              <w:pStyle w:val="ListNumber"/>
              <w:spacing w:after="40"/>
            </w:pPr>
            <w:r>
              <w:rPr>
                <w:b w:val="0"/>
                <w:i w:val="0"/>
                <w:sz w:val="20"/>
              </w:rPr>
              <w:t>Outline appropriate patient education for drugs that lower cholesterol and triglyceride levels.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val="0"/>
                <w:i w:val="0"/>
              </w:rPr>
              <w:t>What he said is not examined, or not in depth.</w:t>
            </w:r>
          </w:p>
          <w:p>
            <w:pPr>
              <w:pStyle w:val="ListBullet"/>
              <w:spacing w:after="40"/>
            </w:pPr>
            <w:r>
              <w:rPr>
                <w:b/>
                <w:i w:val="0"/>
                <w:sz w:val="20"/>
              </w:rPr>
              <w:t>Choosing a statin intensity for a patient scenario</w:t>
            </w:r>
            <w:r>
              <w:rPr>
                <w:b w:val="0"/>
                <w:i w:val="0"/>
                <w:sz w:val="20"/>
              </w:rPr>
              <w:t xml:space="preserve"> — “am I going to get so granular… probably not.” What </w:t>
            </w:r>
            <w:r>
              <w:rPr>
                <w:b w:val="0"/>
                <w:i/>
                <w:sz w:val="20"/>
              </w:rPr>
              <w:t>is</w:t>
            </w:r>
            <w:r>
              <w:rPr>
                <w:b w:val="0"/>
                <w:i w:val="0"/>
                <w:sz w:val="20"/>
              </w:rPr>
              <w:t xml:space="preserve"> asked: which statins can be high intensity.</w:t>
            </w:r>
          </w:p>
          <w:p>
            <w:pPr>
              <w:pStyle w:val="ListBullet"/>
              <w:spacing w:after="40"/>
            </w:pPr>
            <w:r>
              <w:rPr>
                <w:b/>
                <w:i w:val="0"/>
                <w:sz w:val="20"/>
              </w:rPr>
              <w:t>Calculating 10-year risk</w:t>
            </w:r>
            <w:r>
              <w:rPr>
                <w:b w:val="0"/>
                <w:i w:val="0"/>
                <w:sz w:val="20"/>
              </w:rPr>
              <w:t xml:space="preserve"> — “I wouldn’t have you calculate the 10-year risk for a person.” Recognizing the four statin benefit groups </w:t>
            </w:r>
            <w:r>
              <w:rPr>
                <w:b w:val="0"/>
                <w:i/>
                <w:sz w:val="20"/>
              </w:rPr>
              <w:t>is</w:t>
            </w:r>
            <w:r>
              <w:rPr>
                <w:b w:val="0"/>
                <w:i w:val="0"/>
                <w:sz w:val="20"/>
              </w:rPr>
              <w:t xml:space="preserve"> asked.</w:t>
            </w:r>
          </w:p>
          <w:p>
            <w:pPr>
              <w:pStyle w:val="ListBullet"/>
              <w:spacing w:after="40"/>
            </w:pPr>
            <w:r>
              <w:rPr>
                <w:b/>
                <w:i w:val="0"/>
                <w:sz w:val="20"/>
              </w:rPr>
              <w:t>The statin pharmacokinetics table, apart from its enzyme row</w:t>
            </w:r>
            <w:r>
              <w:rPr>
                <w:b w:val="0"/>
                <w:i w:val="0"/>
                <w:sz w:val="20"/>
              </w:rPr>
              <w:t xml:space="preserve"> — absorption, bioavailability, protein binding, half-lives, food effects and prodrug status step back; </w:t>
            </w:r>
            <w:r>
              <w:rPr>
                <w:b w:val="0"/>
                <w:i/>
                <w:sz w:val="20"/>
              </w:rPr>
              <w:t>“the biggest things to focus on”</w:t>
            </w:r>
            <w:r>
              <w:rPr>
                <w:b w:val="0"/>
                <w:i w:val="0"/>
                <w:sz w:val="20"/>
              </w:rPr>
              <w:t xml:space="preserve"> are the CYP interactions.</w:t>
            </w:r>
          </w:p>
          <w:p>
            <w:pPr>
              <w:pStyle w:val="ListBullet"/>
              <w:spacing w:after="40"/>
            </w:pPr>
            <w:r>
              <w:rPr>
                <w:b/>
                <w:i w:val="0"/>
                <w:sz w:val="20"/>
              </w:rPr>
              <w:t>IDL</w:t>
            </w:r>
            <w:r>
              <w:rPr>
                <w:b w:val="0"/>
                <w:i w:val="0"/>
                <w:sz w:val="20"/>
              </w:rPr>
              <w:t xml:space="preserve"> (intermediate-density lipoprotein) — “not going to be a big player here for our purposes.”</w:t>
            </w:r>
          </w:p>
          <w:p>
            <w:pPr>
              <w:pStyle w:val="ListBullet"/>
              <w:spacing w:after="40"/>
            </w:pPr>
            <w:r>
              <w:rPr>
                <w:b/>
                <w:i w:val="0"/>
                <w:sz w:val="20"/>
              </w:rPr>
              <w:t>Ezetimibe with cyclosporine</w:t>
            </w:r>
            <w:r>
              <w:rPr>
                <w:b w:val="0"/>
                <w:i w:val="0"/>
                <w:sz w:val="20"/>
              </w:rPr>
              <w:t xml:space="preserve"> — rare in practice; the antacid interaction is the one that comes up.</w:t>
            </w:r>
          </w:p>
          <w:p>
            <w:pPr>
              <w:pStyle w:val="ListBullet"/>
              <w:spacing w:after="40"/>
            </w:pPr>
            <w:r>
              <w:rPr>
                <w:b w:val="0"/>
                <w:i w:val="0"/>
                <w:sz w:val="20"/>
              </w:rPr>
              <w:t>No doses: the dosing slides for ezetimibe, the resins, niacin and the lovastatin-niacin combination were skipped, and the intensity table is taught without its milligrams.</w:t>
            </w:r>
          </w:p>
          <w:p>
            <w:pPr>
              <w:spacing w:after="120"/>
            </w:pPr>
            <w:r>
              <w:rPr>
                <w:b w:val="0"/>
                <w:i w:val="0"/>
              </w:rPr>
              <w:t>“slight difference in the question, totally different answer”</w:t>
            </w:r>
          </w:p>
          <w:p>
            <w:pPr>
              <w:spacing w:after="120"/>
            </w:pPr>
            <w:r>
              <w:rPr>
                <w:b w:val="0"/>
                <w:i w:val="0"/>
              </w:rPr>
              <w:t>lowers</w:t>
            </w:r>
          </w:p>
          <w:p>
            <w:pPr>
              <w:spacing w:after="120"/>
            </w:pPr>
            <w:r>
              <w:rPr>
                <w:b w:val="0"/>
                <w:i w:val="0"/>
              </w:rPr>
              <w:t>contraindicated</w:t>
            </w:r>
          </w:p>
        </w:tc>
      </w:tr>
    </w:tbl>
    <w:p>
      <w:pPr>
        <w:spacing w:after="80"/>
      </w:pPr>
    </w:p>
    <w:p>
      <w:pPr>
        <w:pStyle w:val="Heading2"/>
        <w:spacing w:before="200" w:after="100"/>
      </w:pPr>
      <w:r>
        <w:rPr>
          <w:rFonts w:ascii="Georgia" w:hAnsi="Georgia"/>
          <w:color w:val="6B3524"/>
        </w:rPr>
        <w:t>4.1 · Objectives 1–2 — Lipid transport, and the memory aid</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val="0"/>
                <w:i w:val="0"/>
              </w:rPr>
              <w:t>Memory aid — the city’s cholesterol logistics (the “garbage system”).</w:t>
            </w:r>
          </w:p>
          <w:p>
            <w:pPr>
              <w:spacing w:after="120"/>
            </w:pPr>
            <w:r>
              <w:rPr>
                <w:b w:val="0"/>
                <w:i w:val="0"/>
              </w:rPr>
              <w:t>A story to hang the slide facts on, the same cast as the Clinical Medicine and Surgery I lipid memory aid. When a question asks for a fact, answer from the facts below it, not from the story.</w:t>
            </w:r>
          </w:p>
          <w:p>
            <w:pPr>
              <w:pStyle w:val="ListBullet"/>
              <w:spacing w:after="40"/>
            </w:pPr>
            <w:r>
              <w:rPr>
                <w:b w:val="0"/>
                <w:i w:val="0"/>
                <w:sz w:val="20"/>
              </w:rPr>
              <w:t xml:space="preserve">The </w:t>
            </w:r>
            <w:r>
              <w:rPr>
                <w:b/>
                <w:i w:val="0"/>
                <w:sz w:val="20"/>
              </w:rPr>
              <w:t>liver is the depot</w:t>
            </w:r>
            <w:r>
              <w:rPr>
                <w:b w:val="0"/>
                <w:i w:val="0"/>
                <w:sz w:val="20"/>
              </w:rPr>
              <w:t xml:space="preserve">: it ships lipoproteins out, takes them back in, and sends cholesterol down the </w:t>
            </w:r>
            <w:r>
              <w:rPr>
                <w:b/>
                <w:i w:val="0"/>
                <w:sz w:val="20"/>
              </w:rPr>
              <w:t>bile, the sewer</w:t>
            </w:r>
            <w:r>
              <w:rPr>
                <w:b w:val="0"/>
                <w:i w:val="0"/>
                <w:sz w:val="20"/>
              </w:rPr>
              <w:t xml:space="preserve"> [slides 7, 8, 12]. The </w:t>
            </w:r>
            <w:r>
              <w:rPr>
                <w:b/>
                <w:i w:val="0"/>
                <w:sz w:val="20"/>
              </w:rPr>
              <w:t>intestine is the port</w:t>
            </w:r>
            <w:r>
              <w:rPr>
                <w:b w:val="0"/>
                <w:i w:val="0"/>
                <w:sz w:val="20"/>
              </w:rPr>
              <w:t xml:space="preserve"> where dietary fat arrives [5, 7].</w:t>
            </w:r>
          </w:p>
          <w:p>
            <w:pPr>
              <w:pStyle w:val="ListBullet"/>
              <w:spacing w:after="40"/>
            </w:pPr>
            <w:r>
              <w:rPr>
                <w:b/>
                <w:i w:val="0"/>
                <w:sz w:val="20"/>
              </w:rPr>
              <w:t>Chylomicrons are the port’s fuel barges</w:t>
            </w:r>
            <w:r>
              <w:rPr>
                <w:b w:val="0"/>
                <w:i w:val="0"/>
                <w:sz w:val="20"/>
              </w:rPr>
              <w:t xml:space="preserve"> (dietary fat) and </w:t>
            </w:r>
            <w:r>
              <w:rPr>
                <w:b/>
                <w:i w:val="0"/>
                <w:sz w:val="20"/>
              </w:rPr>
              <w:t>VLDL (very-low-density lipoprotein) is the depot’s fuel tanker</w:t>
            </w:r>
            <w:r>
              <w:rPr>
                <w:b w:val="0"/>
                <w:i w:val="0"/>
                <w:sz w:val="20"/>
              </w:rPr>
              <w:t xml:space="preserve"> (triglyceride-rich). </w:t>
            </w:r>
            <w:r>
              <w:rPr>
                <w:b/>
                <w:i w:val="0"/>
                <w:sz w:val="20"/>
              </w:rPr>
              <w:t>Lipoprotein lipase is the unloading crew</w:t>
            </w:r>
            <w:r>
              <w:rPr>
                <w:b w:val="0"/>
                <w:i w:val="0"/>
                <w:sz w:val="20"/>
              </w:rPr>
              <w:t>: it empties the fuel into the tissues, and the emptied tanker becomes IDL, then LDL [7–10].</w:t>
            </w:r>
          </w:p>
          <w:p>
            <w:pPr>
              <w:pStyle w:val="ListBullet"/>
              <w:spacing w:after="40"/>
            </w:pPr>
            <w:r>
              <w:rPr>
                <w:b/>
                <w:i w:val="0"/>
                <w:sz w:val="20"/>
              </w:rPr>
              <w:t>LDL (low-density lipoprotein) is the building-material delivery truck.</w:t>
            </w:r>
            <w:r>
              <w:rPr>
                <w:b w:val="0"/>
                <w:i w:val="0"/>
                <w:sz w:val="20"/>
              </w:rPr>
              <w:t xml:space="preserve"> Its one badge, </w:t>
            </w:r>
            <w:r>
              <w:rPr>
                <w:b/>
                <w:i w:val="0"/>
                <w:sz w:val="20"/>
              </w:rPr>
              <w:t>ApoB-100</w:t>
            </w:r>
            <w:r>
              <w:rPr>
                <w:b w:val="0"/>
                <w:i w:val="0"/>
                <w:sz w:val="20"/>
              </w:rPr>
              <w:t>, is what the gate scans [12].</w:t>
            </w:r>
          </w:p>
          <w:p>
            <w:pPr>
              <w:pStyle w:val="ListBullet"/>
              <w:spacing w:after="40"/>
            </w:pPr>
            <w:r>
              <w:rPr>
                <w:b/>
                <w:i w:val="0"/>
                <w:sz w:val="20"/>
              </w:rPr>
              <w:t>The LDL receptor is the depot’s receiving gate</w:t>
            </w:r>
            <w:r>
              <w:rPr>
                <w:b w:val="0"/>
                <w:i w:val="0"/>
                <w:sz w:val="20"/>
              </w:rPr>
              <w:t>: it pulls about 75% of delivery trucks off the road, mostly in the liver, and is recycled back to the surface after each truck [12, 13]. Too few gates, and trucks pile up on the road — atherosclerosis [12].</w:t>
            </w:r>
          </w:p>
          <w:p>
            <w:pPr>
              <w:pStyle w:val="ListBullet"/>
              <w:spacing w:after="40"/>
            </w:pPr>
            <w:r>
              <w:rPr>
                <w:b/>
                <w:i w:val="0"/>
                <w:sz w:val="20"/>
              </w:rPr>
              <w:t>HDL (high-density lipoprotein) trucks are the garbage trucks</w:t>
            </w:r>
            <w:r>
              <w:rPr>
                <w:b w:val="0"/>
                <w:i w:val="0"/>
                <w:sz w:val="20"/>
              </w:rPr>
              <w:t>: made in the intestine and liver, they collect cholesterol and bring it back for the liver to take up [7, 10].</w:t>
            </w:r>
          </w:p>
          <w:p>
            <w:pPr>
              <w:pStyle w:val="ListBullet"/>
              <w:spacing w:after="40"/>
            </w:pPr>
            <w:r>
              <w:rPr>
                <w:b/>
                <w:i w:val="0"/>
                <w:sz w:val="20"/>
              </w:rPr>
              <w:t>PCSK9 is the demolition crew</w:t>
            </w:r>
            <w:r>
              <w:rPr>
                <w:b w:val="0"/>
                <w:i w:val="0"/>
                <w:sz w:val="20"/>
              </w:rPr>
              <w:t xml:space="preserve"> that processes the receiving gates [60].</w:t>
            </w:r>
          </w:p>
          <w:p>
            <w:pPr>
              <w:spacing w:after="120"/>
            </w:pPr>
            <w:r>
              <w:rPr>
                <w:b w:val="0"/>
                <w:i w:val="0"/>
              </w:rPr>
              <w:t>Now every drug in this lecture has a job in the city:</w:t>
            </w:r>
          </w:p>
          <w:p>
            <w:pPr>
              <w:pStyle w:val="ListBullet"/>
              <w:spacing w:after="40"/>
            </w:pPr>
            <w:r>
              <w:rPr>
                <w:b/>
                <w:i w:val="0"/>
                <w:sz w:val="20"/>
              </w:rPr>
              <w:t>Statins cut the depot’s own output</w:t>
            </w:r>
            <w:r>
              <w:rPr>
                <w:b w:val="0"/>
                <w:i w:val="0"/>
                <w:sz w:val="20"/>
              </w:rPr>
              <w:t xml:space="preserve"> (block HMG-CoA reductase, its cholesterol synthesis line) — and the depot, short of material, </w:t>
            </w:r>
            <w:r>
              <w:rPr>
                <w:b/>
                <w:i w:val="0"/>
                <w:sz w:val="20"/>
              </w:rPr>
              <w:t>opens more receiving gates</w:t>
            </w:r>
            <w:r>
              <w:rPr>
                <w:b w:val="0"/>
                <w:i w:val="0"/>
                <w:sz w:val="20"/>
              </w:rPr>
              <w:t xml:space="preserve"> to pull delivery trucks off the road [18].</w:t>
            </w:r>
          </w:p>
          <w:p>
            <w:pPr>
              <w:pStyle w:val="ListBullet"/>
              <w:spacing w:after="40"/>
            </w:pPr>
            <w:r>
              <w:rPr>
                <w:b/>
                <w:i w:val="0"/>
                <w:sz w:val="20"/>
              </w:rPr>
              <w:t>Ezetimibe narrows the port’s import gate</w:t>
            </w:r>
            <w:r>
              <w:rPr>
                <w:b w:val="0"/>
                <w:i w:val="0"/>
                <w:sz w:val="20"/>
              </w:rPr>
              <w:t xml:space="preserve"> (less intestinal cholesterol absorbed), so less material reaches the depot — and it too opens more gates [27, 28].</w:t>
            </w:r>
          </w:p>
          <w:p>
            <w:pPr>
              <w:pStyle w:val="ListBullet"/>
              <w:spacing w:after="40"/>
            </w:pPr>
            <w:r>
              <w:rPr>
                <w:b/>
                <w:i w:val="0"/>
                <w:sz w:val="20"/>
              </w:rPr>
              <w:t>Bile acid sequestrants block the sewer’s recycling loop</w:t>
            </w:r>
            <w:r>
              <w:rPr>
                <w:b w:val="0"/>
                <w:i w:val="0"/>
                <w:sz w:val="20"/>
              </w:rPr>
              <w:t>: they trap bile acids in the gut so they cannot be reclaimed, the depot burns more cholesterol to make new bile acids and opens more gates — but it may also dispatch more fuel tankers, so triglycerides can rise [41, 42, 46].</w:t>
            </w:r>
          </w:p>
          <w:p>
            <w:pPr>
              <w:pStyle w:val="ListBullet"/>
              <w:spacing w:after="40"/>
            </w:pPr>
            <w:r>
              <w:rPr>
                <w:b/>
                <w:i w:val="0"/>
                <w:sz w:val="20"/>
              </w:rPr>
              <w:t>Fibrates send out fewer fuel tankers</w:t>
            </w:r>
            <w:r>
              <w:rPr>
                <w:b w:val="0"/>
                <w:i w:val="0"/>
                <w:sz w:val="20"/>
              </w:rPr>
              <w:t xml:space="preserve"> (less VLDL secreted, so triglycerides fall) and </w:t>
            </w:r>
            <w:r>
              <w:rPr>
                <w:b/>
                <w:i w:val="0"/>
                <w:sz w:val="20"/>
              </w:rPr>
              <w:t>build more garbage-truck chassis</w:t>
            </w:r>
            <w:r>
              <w:rPr>
                <w:b w:val="0"/>
                <w:i w:val="0"/>
                <w:sz w:val="20"/>
              </w:rPr>
              <w:t xml:space="preserve"> (more ApoA-1, so HDL rises) [34].</w:t>
            </w:r>
          </w:p>
          <w:p>
            <w:pPr>
              <w:pStyle w:val="ListBullet"/>
              <w:spacing w:after="40"/>
            </w:pPr>
            <w:r>
              <w:rPr>
                <w:b/>
                <w:i w:val="0"/>
                <w:sz w:val="20"/>
              </w:rPr>
              <w:t>Niacin cuts the fuel line from the fat stores to the depot</w:t>
            </w:r>
            <w:r>
              <w:rPr>
                <w:b w:val="0"/>
                <w:i w:val="0"/>
                <w:sz w:val="20"/>
              </w:rPr>
              <w:t>, so fewer tankers are built and fewer delivery trucks follow; HDL rises [52, 53].</w:t>
            </w:r>
          </w:p>
          <w:p>
            <w:pPr>
              <w:pStyle w:val="ListBullet"/>
              <w:spacing w:after="40"/>
            </w:pPr>
            <w:r>
              <w:rPr>
                <w:b/>
                <w:i w:val="0"/>
                <w:sz w:val="20"/>
              </w:rPr>
              <w:t>PCSK9 inhibitors stop the demolition crew</w:t>
            </w:r>
            <w:r>
              <w:rPr>
                <w:b w:val="0"/>
                <w:i w:val="0"/>
                <w:sz w:val="20"/>
              </w:rPr>
              <w:t>, so the gates stay open longer [60].</w:t>
            </w:r>
          </w:p>
          <w:p>
            <w:pPr>
              <w:spacing w:after="120"/>
            </w:pPr>
            <w:r>
              <w:rPr>
                <w:b w:val="0"/>
                <w:i w:val="0"/>
              </w:rPr>
              <w:t>Where it breaks:</w:t>
            </w:r>
          </w:p>
        </w:tc>
      </w:tr>
    </w:tbl>
    <w:p>
      <w:pPr>
        <w:spacing w:after="80"/>
      </w:pPr>
    </w:p>
    <w:p>
      <w:pPr>
        <w:spacing w:after="120"/>
      </w:pPr>
      <w:r>
        <w:rPr>
          <w:b/>
          <w:i w:val="0"/>
        </w:rPr>
        <w:t>Two sources of fat.</w:t>
      </w:r>
      <w:r>
        <w:rPr>
          <w:b w:val="0"/>
          <w:i w:val="0"/>
        </w:rPr>
        <w:t xml:space="preserve"> Dietary (exogenous) fat is packed in the intestine into </w:t>
      </w:r>
      <w:r>
        <w:rPr>
          <w:b/>
          <w:i w:val="0"/>
        </w:rPr>
        <w:t>chylomicrons</w:t>
      </w:r>
      <w:r>
        <w:rPr>
          <w:b w:val="0"/>
          <w:i w:val="0"/>
        </w:rPr>
        <w:t xml:space="preserve">, carried by the lymph to the blood, stripped of triglyceride by </w:t>
      </w:r>
      <w:r>
        <w:rPr>
          <w:b/>
          <w:i w:val="0"/>
        </w:rPr>
        <w:t>lipoprotein lipase</w:t>
      </w:r>
      <w:r>
        <w:rPr>
          <w:b w:val="0"/>
          <w:i w:val="0"/>
        </w:rPr>
        <w:t xml:space="preserve"> (releasing free fatty acids and glycerol), and the </w:t>
      </w:r>
      <w:r>
        <w:rPr>
          <w:b/>
          <w:i w:val="0"/>
        </w:rPr>
        <w:t>chylomicron remnant</w:t>
      </w:r>
      <w:r>
        <w:rPr>
          <w:b w:val="0"/>
          <w:i w:val="0"/>
        </w:rPr>
        <w:t xml:space="preserve"> is removed by the liver through the LDL receptor-like protein. The liver makes its own (endogenous) triglyceride-rich </w:t>
      </w:r>
      <w:r>
        <w:rPr>
          <w:b/>
          <w:i w:val="0"/>
        </w:rPr>
        <w:t>VLDL</w:t>
      </w:r>
      <w:r>
        <w:rPr>
          <w:b w:val="0"/>
          <w:i w:val="0"/>
        </w:rPr>
        <w:t xml:space="preserve"> from carbohydrate and fatty acids; lipoprotein lipase turns it into </w:t>
      </w:r>
      <w:r>
        <w:rPr>
          <w:b/>
          <w:i w:val="0"/>
        </w:rPr>
        <w:t>IDL</w:t>
      </w:r>
      <w:r>
        <w:rPr>
          <w:b w:val="0"/>
          <w:i w:val="0"/>
        </w:rPr>
        <w:t xml:space="preserve">, about half of which becomes </w:t>
      </w:r>
      <w:r>
        <w:rPr>
          <w:b/>
          <w:i w:val="0"/>
        </w:rPr>
        <w:t>LDL</w:t>
      </w:r>
      <w:r>
        <w:rPr>
          <w:b w:val="0"/>
          <w:i w:val="0"/>
        </w:rPr>
        <w:t xml:space="preserve"> while half returns to the liver. In the enterocyte, dietary cholesterol is taken up through a cholesterol transporter (NPC1L1) and esterified before packaging.</w:t>
      </w:r>
    </w:p>
    <w:p>
      <w:pPr>
        <w:spacing w:after="120"/>
      </w:pPr>
      <w:r>
        <w:rPr>
          <w:b/>
          <w:i w:val="0"/>
        </w:rPr>
        <w:t>LDL</w:t>
      </w:r>
      <w:r>
        <w:rPr>
          <w:b w:val="0"/>
          <w:i w:val="0"/>
        </w:rPr>
        <w:t xml:space="preserve"> has one apolipoprotein, </w:t>
      </w:r>
      <w:r>
        <w:rPr>
          <w:b/>
          <w:i w:val="0"/>
        </w:rPr>
        <w:t>ApoB-100</w:t>
      </w:r>
      <w:r>
        <w:rPr>
          <w:b w:val="0"/>
          <w:i w:val="0"/>
        </w:rPr>
        <w:t xml:space="preserve">, the ligand for its receptor. About 75% of LDL is cleared by the </w:t>
      </w:r>
      <w:r>
        <w:rPr>
          <w:b/>
          <w:i w:val="0"/>
        </w:rPr>
        <w:t>LDL receptor</w:t>
      </w:r>
      <w:r>
        <w:rPr>
          <w:b w:val="0"/>
          <w:i w:val="0"/>
        </w:rPr>
        <w:t xml:space="preserve">, most of it in the liver; the receptor carries LDL into the cell, the lysosome breaks it down and releases its cholesterol, and the receptor returns to the surface. </w:t>
      </w:r>
      <w:r>
        <w:rPr>
          <w:b/>
          <w:i w:val="0"/>
        </w:rPr>
        <w:t>Less receptor activity means LDL accumulates, and atherosclerosis follows.</w:t>
      </w:r>
      <w:r>
        <w:rPr>
          <w:b w:val="0"/>
          <w:i w:val="0"/>
        </w:rPr>
        <w:t xml:space="preserve"> Oxidized LDL enters macrophages through scavenger receptors (CD36 and SR-A). </w:t>
      </w:r>
      <w:r>
        <w:rPr>
          <w:b/>
          <w:i w:val="0"/>
        </w:rPr>
        <w:t>HDL</w:t>
      </w:r>
      <w:r>
        <w:rPr>
          <w:b w:val="0"/>
          <w:i w:val="0"/>
        </w:rPr>
        <w:t xml:space="preserve"> is made in the intestine and liver and is catabolized by handing cholesteryl ester to VLDL and LDL and by hepatic uptake.</w:t>
      </w:r>
    </w:p>
    <w:p>
      <w:pPr>
        <w:spacing w:after="120"/>
      </w:pPr>
      <w:r>
        <w:rPr>
          <w:b/>
          <w:i w:val="0"/>
        </w:rPr>
        <w:t>The key point he returned to four times.</w:t>
      </w:r>
      <w:r>
        <w:rPr>
          <w:b w:val="0"/>
          <w:i w:val="0"/>
        </w:rPr>
        <w:t xml:space="preserve"> Getting lipoproteins into the liver needs receptors, </w:t>
      </w:r>
      <w:r>
        <w:rPr>
          <w:b w:val="0"/>
          <w:i/>
        </w:rPr>
        <w:t>“and that’s going to be a key point with some of our medications”</w:t>
      </w:r>
      <w:r>
        <w:rPr>
          <w:b w:val="0"/>
          <w:i w:val="0"/>
        </w:rPr>
        <w:t xml:space="preserve">. Statins, ezetimibe, the resins and the PCSK9 inhibitors all end in the same place: </w:t>
      </w:r>
      <w:r>
        <w:rPr>
          <w:b/>
          <w:i w:val="0"/>
        </w:rPr>
        <w:t>more working LDL receptors on the liver</w:t>
      </w:r>
      <w:r>
        <w:rPr>
          <w:b w:val="0"/>
          <w:i w:val="0"/>
        </w:rPr>
        <w:t>. What differs is how they get there.</w:t>
      </w:r>
    </w:p>
    <w:p>
      <w:pPr>
        <w:spacing w:after="120"/>
      </w:pPr>
      <w:r>
        <w:rPr>
          <w:b w:val="0"/>
          <w:i w:val="0"/>
        </w:rPr>
        <w:t>Also tested</w:t>
      </w:r>
    </w:p>
    <w:p>
      <w:pPr>
        <w:pStyle w:val="ListBullet"/>
        <w:spacing w:after="40"/>
      </w:pPr>
      <w:r>
        <w:rPr>
          <w:b/>
          <w:i w:val="0"/>
          <w:sz w:val="20"/>
        </w:rPr>
        <w:t>LDL receptor activity.</w:t>
      </w:r>
      <w:r>
        <w:rPr>
          <w:b w:val="0"/>
          <w:i w:val="0"/>
          <w:sz w:val="20"/>
        </w:rPr>
        <w:t xml:space="preserve"> When it falls, LDL accumulates in plasma, driving atherosclerosis; most LDL-lowering classes work by raising receptor activity.</w:t>
      </w:r>
    </w:p>
    <w:p>
      <w:pPr>
        <w:pStyle w:val="Heading2"/>
        <w:spacing w:before="200" w:after="100"/>
      </w:pPr>
      <w:r>
        <w:rPr>
          <w:rFonts w:ascii="Georgia" w:hAnsi="Georgia"/>
          <w:color w:val="6B3524"/>
        </w:rPr>
        <w:t>4.2 · Objectives 1–8 — Statins</w:t>
      </w:r>
    </w:p>
    <w:p>
      <w:pPr>
        <w:spacing w:after="120"/>
      </w:pPr>
      <w:r>
        <w:rPr>
          <w:b/>
          <w:i w:val="0"/>
        </w:rPr>
        <w:t>Class and agents:</w:t>
      </w:r>
      <w:r>
        <w:rPr>
          <w:b w:val="0"/>
          <w:i w:val="0"/>
        </w:rPr>
        <w:t xml:space="preserve"> HMG-CoA (3-hydroxy-3-methylglutaryl coenzyme A) reductase inhibitors — lovastatin, simvastatin, pravastatin, fluvastatin, atorvastatin, rosuvastatin, pitavastatin. </w:t>
      </w:r>
      <w:r>
        <w:rPr>
          <w:b/>
          <w:i w:val="0"/>
        </w:rPr>
        <w:t>Mechanism:</w:t>
      </w:r>
      <w:r>
        <w:rPr>
          <w:b w:val="0"/>
          <w:i w:val="0"/>
        </w:rPr>
        <w:t xml:space="preserve"> </w:t>
      </w:r>
      <w:r>
        <w:rPr>
          <w:b w:val="0"/>
          <w:i w:val="0"/>
          <w:highlight w:val="yellow"/>
        </w:rPr>
        <w:t>Reduce hepatic cholesterol synthesis, lowering intracellular cholesterol, which stimulates upregulation of LDL receptor and increases the uptake of non-HDL particles from the systemic circulation.</w:t>
      </w:r>
      <w:r>
        <w:rPr>
          <w:b w:val="0"/>
          <w:i w:val="0"/>
        </w:rPr>
        <w:t xml:space="preserve"> LDL, VLDL remnants and IDL all fall. They also have </w:t>
      </w:r>
      <w:r>
        <w:rPr>
          <w:b/>
          <w:i w:val="0"/>
        </w:rPr>
        <w:t>pleiotropic effects</w:t>
      </w:r>
      <w:r>
        <w:rPr>
          <w:b w:val="0"/>
          <w:i w:val="0"/>
        </w:rPr>
        <w:t xml:space="preserve"> beyond lipids: better endothelial function, plaque stabilization, inhibition of vascular smooth muscle growth, platelet inhibition, reduced leukocyte adhesiveness and inflammatory markers, among others.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highlight w:val="yellow"/>
              </w:rPr>
              <w:t>Most efficacious and best tolerated of all agents</w:t>
            </w:r>
            <w:r>
              <w:rPr>
                <w:b w:val="0"/>
                <w:i w:val="0"/>
              </w:rPr>
              <w:t xml:space="preserve"> — </w:t>
            </w:r>
            <w:r>
              <w:rPr>
                <w:b w:val="0"/>
                <w:i w:val="0"/>
                <w:highlight w:val="yellow"/>
              </w:rPr>
              <w:t>first line therapy when LDL-C lowering drugs are indicated</w:t>
            </w:r>
            <w:r>
              <w:rPr>
                <w:b w:val="0"/>
                <w:i w:val="0"/>
              </w:rPr>
              <w:t xml:space="preserve"> (LDL-C = low-density lipoprotein cholesterol). </w:t>
            </w:r>
            <w:r>
              <w:rPr>
                <w:b w:val="0"/>
                <w:i/>
              </w:rPr>
              <w:t>“Statins 10 times out of 10.”</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Metabolism (Objective 4) — the one row of the pharmacokinetics table to know:</w:t>
            </w:r>
            <w:r>
              <w:rPr>
                <w:b w:val="0"/>
                <w:i w:val="0"/>
              </w:rPr>
              <w:t xml:space="preserve"> </w:t>
            </w:r>
            <w:r>
              <w:rPr>
                <w:b w:val="0"/>
                <w:i w:val="0"/>
                <w:highlight w:val="yellow"/>
              </w:rPr>
              <w:t>atorvastatin, lovastatin and simvastatin are metabolized by CYP3A4</w:t>
            </w:r>
            <w:r>
              <w:rPr>
                <w:b w:val="0"/>
                <w:i w:val="0"/>
              </w:rPr>
              <w:t xml:space="preserve"> (cytochrome P450 3A4); fluvastatin by CYP2C9; pravastatin enzymatically and non-enzymatically, not by CYP; </w:t>
            </w:r>
            <w:r>
              <w:rPr>
                <w:b w:val="0"/>
                <w:i w:val="0"/>
                <w:highlight w:val="yellow"/>
              </w:rPr>
              <w:t>rosuvastatin minimal CYP</w:t>
            </w:r>
            <w:r>
              <w:rPr>
                <w:b w:val="0"/>
                <w:i w:val="0"/>
              </w:rPr>
              <w:t xml:space="preserve">; pitavastatin by glucuronidation. </w:t>
            </w:r>
            <w:r>
              <w:rPr>
                <w:b w:val="0"/>
                <w:i/>
              </w:rPr>
              <w:t>“Definitely know these… it may come up on a test.”</w:t>
            </w:r>
          </w:p>
          <w:p>
            <w:pPr>
              <w:spacing w:after="120"/>
            </w:pPr>
            <w:r>
              <w:rPr>
                <w:b/>
                <w:i w:val="0"/>
              </w:rPr>
              <w:t>Interactions:</w:t>
            </w:r>
            <w:r>
              <w:rPr>
                <w:b w:val="0"/>
                <w:i w:val="0"/>
              </w:rPr>
              <w:t xml:space="preserve"> </w:t>
            </w:r>
            <w:r>
              <w:rPr>
                <w:b w:val="0"/>
                <w:i w:val="0"/>
                <w:highlight w:val="yellow"/>
              </w:rPr>
              <w:t>CYP-450 mediated interaction (especially CYP3A4 inhibitors and substrates) — verapamil, amiodarone, niacin, fibric acid derivatives, grapefruit juice</w:t>
            </w:r>
            <w:r>
              <w:rPr>
                <w:b w:val="0"/>
                <w:i w:val="0"/>
              </w:rPr>
              <w:t>. Grapefruit juice is the lecture’s only drug-food interaction. Link it to section 3.4: the non-dihydropyridines that raise these three statins are CYP3A4 inhibitors.</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Adverse effect</w:t>
            </w:r>
          </w:p>
        </w:tc>
        <w:tc>
          <w:tcPr>
            <w:tcW w:type="dxa" w:w="7272"/>
            <w:shd w:val="clear" w:color="auto" w:fill="6B3524"/>
          </w:tcPr>
          <w:p>
            <w:pPr>
              <w:spacing w:after="40"/>
            </w:pPr>
            <w:r>
              <w:rPr>
                <w:b/>
                <w:color w:val="FFFFFF"/>
                <w:sz w:val="18"/>
              </w:rPr>
            </w:r>
            <w:r>
              <w:rPr>
                <w:b/>
                <w:i w:val="0"/>
                <w:color w:val="FFFFFF"/>
                <w:sz w:val="18"/>
              </w:rPr>
              <w:t>What the slide says</w:t>
            </w:r>
          </w:p>
        </w:tc>
      </w:tr>
      <w:tr>
        <w:tc>
          <w:tcPr>
            <w:tcW w:type="dxa" w:w="7272"/>
          </w:tcPr>
          <w:p>
            <w:pPr>
              <w:spacing w:after="40"/>
            </w:pPr>
            <w:r>
              <w:rPr>
                <w:sz w:val="18"/>
              </w:rPr>
            </w:r>
            <w:r>
              <w:rPr>
                <w:b w:val="0"/>
                <w:i w:val="0"/>
                <w:sz w:val="18"/>
              </w:rPr>
              <w:t>Common</w:t>
            </w:r>
          </w:p>
        </w:tc>
        <w:tc>
          <w:tcPr>
            <w:tcW w:type="dxa" w:w="7272"/>
          </w:tcPr>
          <w:p>
            <w:pPr>
              <w:spacing w:after="40"/>
            </w:pPr>
            <w:r>
              <w:rPr>
                <w:sz w:val="18"/>
              </w:rPr>
            </w:r>
            <w:r>
              <w:rPr>
                <w:b w:val="0"/>
                <w:i w:val="0"/>
                <w:sz w:val="18"/>
              </w:rPr>
              <w:t>Headache, sleep disturbance, fatigue, gastrointestinal intolerance, flu-like symptoms</w:t>
            </w:r>
          </w:p>
        </w:tc>
      </w:tr>
      <w:tr>
        <w:tc>
          <w:tcPr>
            <w:tcW w:type="dxa" w:w="7272"/>
          </w:tcPr>
          <w:p>
            <w:pPr>
              <w:spacing w:after="40"/>
            </w:pPr>
            <w:r>
              <w:rPr>
                <w:sz w:val="18"/>
              </w:rPr>
            </w:r>
            <w:r>
              <w:rPr>
                <w:b/>
                <w:i w:val="0"/>
                <w:sz w:val="18"/>
              </w:rPr>
              <w:t>Liver enzymes</w:t>
            </w:r>
          </w:p>
        </w:tc>
        <w:tc>
          <w:tcPr>
            <w:tcW w:type="dxa" w:w="7272"/>
          </w:tcPr>
          <w:p>
            <w:pPr>
              <w:spacing w:after="40"/>
            </w:pPr>
            <w:r>
              <w:rPr>
                <w:sz w:val="18"/>
              </w:rPr>
            </w:r>
            <w:r>
              <w:rPr>
                <w:b w:val="0"/>
                <w:i w:val="0"/>
                <w:sz w:val="18"/>
                <w:highlight w:val="yellow"/>
              </w:rPr>
              <w:t>Increase in liver enzymes — occurs in 0.5 to 2.5% of cases, in a dose-dependent manner — serious liver problems are exceedingly rare</w:t>
            </w:r>
            <w:r>
              <w:rPr>
                <w:b w:val="0"/>
                <w:i w:val="0"/>
                <w:sz w:val="18"/>
              </w:rPr>
              <w:t xml:space="preserve">. Manage by </w:t>
            </w:r>
            <w:r>
              <w:rPr>
                <w:b/>
                <w:i w:val="0"/>
                <w:sz w:val="18"/>
              </w:rPr>
              <w:t>reducing the dose, or stopping until levels return to normal</w:t>
            </w:r>
          </w:p>
        </w:tc>
      </w:tr>
      <w:tr>
        <w:tc>
          <w:tcPr>
            <w:tcW w:type="dxa" w:w="7272"/>
          </w:tcPr>
          <w:p>
            <w:pPr>
              <w:spacing w:after="40"/>
            </w:pPr>
            <w:r>
              <w:rPr>
                <w:sz w:val="18"/>
              </w:rPr>
            </w:r>
            <w:r>
              <w:rPr>
                <w:b/>
                <w:i w:val="0"/>
                <w:sz w:val="18"/>
              </w:rPr>
              <w:t>Muscle</w:t>
            </w:r>
          </w:p>
        </w:tc>
        <w:tc>
          <w:tcPr>
            <w:tcW w:type="dxa" w:w="7272"/>
          </w:tcPr>
          <w:p>
            <w:pPr>
              <w:spacing w:after="40"/>
            </w:pPr>
            <w:r>
              <w:rPr>
                <w:sz w:val="18"/>
              </w:rPr>
            </w:r>
            <w:r>
              <w:rPr>
                <w:b w:val="0"/>
                <w:i w:val="0"/>
                <w:sz w:val="18"/>
                <w:highlight w:val="yellow"/>
              </w:rPr>
              <w:t>Myalgia; myopathy; rare cases of rhabdomyolysis</w:t>
            </w:r>
            <w:r>
              <w:rPr>
                <w:b w:val="0"/>
                <w:i w:val="0"/>
                <w:sz w:val="18"/>
              </w:rPr>
              <w:t xml:space="preserve">. Reduce the risk with caution in renal impairment, the lowest effective dose, </w:t>
            </w:r>
            <w:r>
              <w:rPr>
                <w:b w:val="0"/>
                <w:i w:val="0"/>
                <w:sz w:val="18"/>
                <w:highlight w:val="yellow"/>
              </w:rPr>
              <w:t>cautiously combining statins with fibrates</w:t>
            </w:r>
            <w:r>
              <w:rPr>
                <w:b w:val="0"/>
                <w:i w:val="0"/>
                <w:sz w:val="18"/>
              </w:rPr>
              <w:t xml:space="preserve">, avoiding other interactions, and monitoring symptoms and laboratory values. </w:t>
            </w:r>
            <w:r>
              <w:rPr>
                <w:b w:val="0"/>
                <w:i w:val="0"/>
                <w:sz w:val="18"/>
                <w:highlight w:val="yellow"/>
              </w:rPr>
              <w:t>Presence of muscle toxicity requires the discontinuation of the statin</w:t>
            </w:r>
          </w:p>
        </w:tc>
      </w:tr>
    </w:tbl>
    <w:p>
      <w:pPr>
        <w:spacing w:after="80"/>
      </w:pPr>
    </w:p>
    <w:p>
      <w:pPr>
        <w:spacing w:after="120"/>
      </w:pPr>
      <w:r>
        <w:rPr>
          <w:b/>
          <w:i w:val="0"/>
        </w:rPr>
        <w:t>Contraindications:</w:t>
      </w:r>
      <w:r>
        <w:rPr>
          <w:b w:val="0"/>
          <w:i w:val="0"/>
        </w:rPr>
        <w:t xml:space="preserve"> </w:t>
      </w:r>
      <w:r>
        <w:rPr>
          <w:b w:val="0"/>
          <w:i w:val="0"/>
          <w:highlight w:val="yellow"/>
        </w:rPr>
        <w:t>hepatic disease; pregnancy</w:t>
      </w:r>
      <w:r>
        <w:rPr>
          <w:b w:val="0"/>
          <w:i w:val="0"/>
        </w:rPr>
        <w:t xml:space="preserve">. Relative: concomitant cyclosporine or other immunosuppressants, </w:t>
      </w:r>
      <w:r>
        <w:rPr>
          <w:b/>
          <w:i w:val="0"/>
        </w:rPr>
        <w:t>gemfibrozil</w:t>
      </w:r>
      <w:r>
        <w:rPr>
          <w:b w:val="0"/>
          <w:i w:val="0"/>
        </w:rPr>
        <w:t xml:space="preserve">, niacin and erythromycin. Pregnancy puts statins in the same group as ACE inhibitors and angiotensin receptor blockers from Lecture 6 — the three he called a “no-go”. The contrast that makes a good question: the </w:t>
      </w:r>
      <w:r>
        <w:rPr>
          <w:b/>
          <w:i w:val="0"/>
        </w:rPr>
        <w:t>bile acid sequestrants are approved in pregnancy</w:t>
      </w:r>
      <w:r>
        <w:rPr>
          <w:b w:val="0"/>
          <w:i w:val="0"/>
        </w:rPr>
        <w:t xml:space="preserve"> (4.4).</w:t>
      </w:r>
    </w:p>
    <w:p>
      <w:pPr>
        <w:spacing w:after="120"/>
      </w:pPr>
      <w:r>
        <w:rPr>
          <w:b w:val="0"/>
          <w:i w:val="0"/>
        </w:rPr>
        <w:t>Also tested</w:t>
      </w:r>
    </w:p>
    <w:p>
      <w:pPr>
        <w:pStyle w:val="ListBullet"/>
        <w:spacing w:after="40"/>
      </w:pPr>
      <w:r>
        <w:rPr>
          <w:b/>
          <w:i w:val="0"/>
          <w:sz w:val="20"/>
        </w:rPr>
        <w:t>Statin muscle toxicity.</w:t>
      </w:r>
      <w:r>
        <w:rPr>
          <w:b w:val="0"/>
          <w:i w:val="0"/>
          <w:sz w:val="20"/>
        </w:rPr>
        <w:t xml:space="preserve"> Muscle toxicity requires discontinuing the statin. Myopathy occurs in 0.2 to 0.4% of patients, with rare rhabdomyolysis.</w:t>
      </w:r>
    </w:p>
    <w:p>
      <w:pPr>
        <w:pStyle w:val="ListBullet"/>
        <w:spacing w:after="40"/>
      </w:pPr>
      <w:r>
        <w:rPr>
          <w:b/>
          <w:i w:val="0"/>
          <w:sz w:val="20"/>
        </w:rPr>
        <w:t>Statin with a fibrate.</w:t>
      </w:r>
      <w:r>
        <w:rPr>
          <w:b w:val="0"/>
          <w:i w:val="0"/>
          <w:sz w:val="20"/>
        </w:rPr>
        <w:t xml:space="preserve"> Combine them only with caution because of a higher risk of myopathy, as both classes can cause it; gemfibrozil is a relative contraindication with statins.</w:t>
      </w:r>
    </w:p>
    <w:p>
      <w:pPr>
        <w:pStyle w:val="ListBullet"/>
        <w:spacing w:after="40"/>
      </w:pPr>
      <w:r>
        <w:rPr>
          <w:b/>
          <w:i w:val="0"/>
          <w:sz w:val="20"/>
        </w:rPr>
        <w:t>Reducing statin myopathy risk.</w:t>
      </w:r>
      <w:r>
        <w:rPr>
          <w:b w:val="0"/>
          <w:i w:val="0"/>
          <w:sz w:val="20"/>
        </w:rPr>
        <w:t xml:space="preserve"> Use the lowest effective dose; also use caution in renal impairment and with fibrates, avoid other drug interactions, and monitor symptoms and laboratory values.</w:t>
      </w:r>
    </w:p>
    <w:p>
      <w:pPr>
        <w:pStyle w:val="ListBullet"/>
        <w:spacing w:after="40"/>
      </w:pPr>
      <w:r>
        <w:rPr>
          <w:b/>
          <w:i w:val="0"/>
          <w:sz w:val="20"/>
        </w:rPr>
        <w:t>Rising liver enzymes on atorvastatin.</w:t>
      </w:r>
      <w:r>
        <w:rPr>
          <w:b w:val="0"/>
          <w:i w:val="0"/>
          <w:sz w:val="20"/>
        </w:rPr>
        <w:t xml:space="preserve"> Lower the dose or pause it; liver enzyme rises occur in 0.5 to 2.5% of patients in a dose-dependent manner and are managed by reducing the dose or stopping until levels return to normal.</w:t>
      </w:r>
    </w:p>
    <w:p>
      <w:pPr>
        <w:pStyle w:val="ListBullet"/>
        <w:spacing w:after="40"/>
      </w:pPr>
      <w:r>
        <w:rPr>
          <w:b/>
          <w:i w:val="0"/>
          <w:sz w:val="20"/>
        </w:rPr>
        <w:t>First-line LDL lowering.</w:t>
      </w:r>
      <w:r>
        <w:rPr>
          <w:b w:val="0"/>
          <w:i w:val="0"/>
          <w:sz w:val="20"/>
        </w:rPr>
        <w:t xml:space="preserve"> Atorvastatin is first line when LDL (low-density lipoprotein) lowering drugs are indicated; statins are the most efficacious and best tolerated agents.</w:t>
      </w:r>
    </w:p>
    <w:p>
      <w:pPr>
        <w:pStyle w:val="ListBullet"/>
        <w:spacing w:after="40"/>
      </w:pPr>
      <w:r>
        <w:rPr>
          <w:b/>
          <w:i w:val="0"/>
          <w:sz w:val="20"/>
        </w:rPr>
        <w:t>Shared end result of LDL-lowering drugs.</w:t>
      </w:r>
      <w:r>
        <w:rPr>
          <w:b w:val="0"/>
          <w:i w:val="0"/>
          <w:sz w:val="20"/>
        </w:rPr>
        <w:t xml:space="preserve"> Statins, ezetimibe, bile acid sequestrants and PCSK9 inhibitors lower LDL (low-density lipoprotein) through more active hepatic LDL receptors: statins and resins upregulate them, ezetimibe raises their expression by cutting cholesterol supply, and PCSK9 inhibitors keep them active longer.</w:t>
      </w:r>
    </w:p>
    <w:p>
      <w:pPr>
        <w:pStyle w:val="ListBullet"/>
        <w:spacing w:after="40"/>
      </w:pPr>
      <w:r>
        <w:rPr>
          <w:b/>
          <w:i w:val="0"/>
          <w:sz w:val="20"/>
        </w:rPr>
        <w:t>Statin muscle toxicity.</w:t>
      </w:r>
      <w:r>
        <w:rPr>
          <w:b w:val="0"/>
          <w:i w:val="0"/>
          <w:sz w:val="20"/>
        </w:rPr>
        <w:t xml:space="preserve"> Rhabdomyolysis is the most severe muscle toxicity of statins; it is rare, whereas myalgia and myopathy (0.2 to 0.4%) are more common. Muscle toxicity requires stopping the statin.</w:t>
      </w:r>
    </w:p>
    <w:p>
      <w:pPr>
        <w:pStyle w:val="ListBullet"/>
        <w:spacing w:after="40"/>
      </w:pPr>
      <w:r>
        <w:rPr>
          <w:b/>
          <w:i w:val="0"/>
          <w:sz w:val="20"/>
        </w:rPr>
        <w:t>Rosuvastatin metabolism.</w:t>
      </w:r>
      <w:r>
        <w:rPr>
          <w:b w:val="0"/>
          <w:i w:val="0"/>
          <w:sz w:val="20"/>
        </w:rPr>
        <w:t xml:space="preserve"> Rosuvastatin's major metabolic route is minimal CYP, so CYP3A4 inhibitors affect it least, unlike the CYP3A4 statins.</w:t>
      </w:r>
    </w:p>
    <w:p>
      <w:pPr>
        <w:pStyle w:val="Heading2"/>
        <w:spacing w:before="200" w:after="100"/>
      </w:pPr>
      <w:r>
        <w:rPr>
          <w:rFonts w:ascii="Georgia" w:hAnsi="Georgia"/>
          <w:color w:val="6B3524"/>
        </w:rPr>
        <w:t>4.3 · Objectives 1–8 — Ezetimibe</w:t>
      </w:r>
    </w:p>
    <w:p>
      <w:pPr>
        <w:spacing w:after="120"/>
      </w:pPr>
      <w:r>
        <w:rPr>
          <w:b/>
          <w:i w:val="0"/>
        </w:rPr>
        <w:t>Ezetimibe (Zetia)</w:t>
      </w:r>
      <w:r>
        <w:rPr>
          <w:b w:val="0"/>
          <w:i w:val="0"/>
        </w:rPr>
        <w:t xml:space="preserve">, the cholesterol absorption inhibitor, </w:t>
      </w:r>
      <w:r>
        <w:rPr>
          <w:b/>
          <w:i w:val="0"/>
        </w:rPr>
        <w:t>selectively inhibits intestinal cholesterol absorption</w:t>
      </w:r>
      <w:r>
        <w:rPr>
          <w:b w:val="0"/>
          <w:i w:val="0"/>
        </w:rPr>
        <w:t xml:space="preserve"> at the brush border, so less cholesterol reaches the liver, </w:t>
      </w:r>
      <w:r>
        <w:rPr>
          <w:b/>
          <w:i w:val="0"/>
        </w:rPr>
        <w:t>hepatic LDL receptors increase</w:t>
      </w:r>
      <w:r>
        <w:rPr>
          <w:b w:val="0"/>
          <w:i w:val="0"/>
        </w:rPr>
        <w:t xml:space="preserve">, and atherogenic particles carry less cholesterol. With a statin it gives “dual inhibition” of the two sources — the statin on synthesis, ezetimibe on absorption — and adds further LDL lowering. </w:t>
      </w:r>
      <w:r>
        <w:rPr>
          <w:b/>
          <w:i w:val="0"/>
        </w:rPr>
        <w:t>Absorption and metabolism:</w:t>
      </w:r>
      <w:r>
        <w:rPr>
          <w:b w:val="0"/>
          <w:i w:val="0"/>
        </w:rPr>
        <w:t xml:space="preserve"> ezetimibe and its active glucuronide metabolite </w:t>
      </w:r>
      <w:r>
        <w:rPr>
          <w:b/>
          <w:i w:val="0"/>
        </w:rPr>
        <w:t>circulate enterohepatically</w:t>
      </w:r>
      <w:r>
        <w:rPr>
          <w:b w:val="0"/>
          <w:i w:val="0"/>
        </w:rPr>
        <w:t>, which returns the drug to its site of action and limits systemic exposure; it may be taken with or without meals.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Adverse effects</w:t>
            </w:r>
          </w:p>
        </w:tc>
        <w:tc>
          <w:tcPr>
            <w:tcW w:type="dxa" w:w="7272"/>
            <w:shd w:val="clear" w:color="auto" w:fill="6B3524"/>
          </w:tcPr>
          <w:p>
            <w:pPr>
              <w:spacing w:after="40"/>
            </w:pPr>
            <w:r>
              <w:rPr>
                <w:b/>
                <w:color w:val="FFFFFF"/>
                <w:sz w:val="18"/>
              </w:rPr>
            </w:r>
            <w:r>
              <w:rPr>
                <w:b/>
                <w:i w:val="0"/>
                <w:color w:val="FFFFFF"/>
                <w:sz w:val="18"/>
              </w:rPr>
              <w:t>Interactions</w:t>
            </w:r>
          </w:p>
        </w:tc>
      </w:tr>
      <w:tr>
        <w:tc>
          <w:tcPr>
            <w:tcW w:type="dxa" w:w="7272"/>
          </w:tcPr>
          <w:p>
            <w:pPr>
              <w:spacing w:after="40"/>
            </w:pPr>
            <w:r>
              <w:rPr>
                <w:sz w:val="18"/>
              </w:rPr>
            </w:r>
            <w:r>
              <w:rPr>
                <w:b w:val="0"/>
                <w:i w:val="0"/>
                <w:sz w:val="18"/>
              </w:rPr>
              <w:t xml:space="preserve">Gastrointestinal effects; </w:t>
            </w:r>
            <w:r>
              <w:rPr>
                <w:b/>
                <w:i w:val="0"/>
                <w:sz w:val="18"/>
              </w:rPr>
              <w:t>raised hepatic transaminases when combined with a statin</w:t>
            </w:r>
            <w:r>
              <w:rPr>
                <w:b w:val="0"/>
                <w:i w:val="0"/>
                <w:sz w:val="18"/>
              </w:rPr>
              <w:t>. No contraindications are listed.</w:t>
            </w:r>
          </w:p>
        </w:tc>
        <w:tc>
          <w:tcPr>
            <w:tcW w:type="dxa" w:w="7272"/>
          </w:tcPr>
          <w:p>
            <w:pPr>
              <w:spacing w:after="40"/>
            </w:pPr>
            <w:r>
              <w:rPr>
                <w:sz w:val="18"/>
              </w:rPr>
            </w:r>
            <w:r>
              <w:rPr>
                <w:b/>
                <w:i w:val="0"/>
                <w:sz w:val="18"/>
              </w:rPr>
              <w:t>Fibrates</w:t>
            </w:r>
            <w:r>
              <w:rPr>
                <w:b w:val="0"/>
                <w:i w:val="0"/>
                <w:sz w:val="18"/>
              </w:rPr>
              <w:t xml:space="preserve"> increase hepatobiliary side effects — </w:t>
            </w:r>
            <w:r>
              <w:rPr>
                <w:b/>
                <w:i w:val="0"/>
                <w:sz w:val="18"/>
              </w:rPr>
              <w:t>cholelithiasis</w:t>
            </w:r>
            <w:r>
              <w:rPr>
                <w:b w:val="0"/>
                <w:i w:val="0"/>
                <w:sz w:val="18"/>
              </w:rPr>
              <w:t xml:space="preserve"> and myopathies; </w:t>
            </w:r>
            <w:r>
              <w:rPr>
                <w:b/>
                <w:i w:val="0"/>
                <w:sz w:val="18"/>
              </w:rPr>
              <w:t>bile acid sequestrants lower its concentration</w:t>
            </w:r>
            <w:r>
              <w:rPr>
                <w:b w:val="0"/>
                <w:i w:val="0"/>
                <w:sz w:val="18"/>
              </w:rPr>
              <w:t xml:space="preserve">; </w:t>
            </w:r>
            <w:r>
              <w:rPr>
                <w:b/>
                <w:i w:val="0"/>
                <w:sz w:val="18"/>
              </w:rPr>
              <w:t>antacids lower its concentration</w:t>
            </w:r>
            <w:r>
              <w:rPr>
                <w:b w:val="0"/>
                <w:i w:val="0"/>
                <w:sz w:val="18"/>
              </w:rPr>
              <w:t>; cyclosporine raises it</w:t>
            </w:r>
          </w:p>
        </w:tc>
      </w:tr>
    </w:tbl>
    <w:p>
      <w:pPr>
        <w:spacing w:after="80"/>
      </w:pPr>
    </w:p>
    <w:p>
      <w:pPr>
        <w:spacing w:after="120"/>
      </w:pPr>
      <w:r>
        <w:rPr>
          <w:b w:val="0"/>
          <w:i w:val="0"/>
        </w:rPr>
        <w:t>Also tested</w:t>
      </w:r>
    </w:p>
    <w:p>
      <w:pPr>
        <w:pStyle w:val="ListBullet"/>
        <w:spacing w:after="40"/>
      </w:pPr>
      <w:r>
        <w:rPr>
          <w:b/>
          <w:i w:val="0"/>
          <w:sz w:val="20"/>
        </w:rPr>
        <w:t>Ezetimibe use.</w:t>
      </w:r>
      <w:r>
        <w:rPr>
          <w:b w:val="0"/>
          <w:i w:val="0"/>
          <w:sz w:val="20"/>
        </w:rPr>
        <w:t xml:space="preserve"> Ezetimibe is typically added to a statin for dual inhibition: the statin blocks synthesis and ezetimibe blocks absorption, giving additional LDL (low-density lipoprotein) lowering.</w:t>
      </w:r>
    </w:p>
    <w:p>
      <w:pPr>
        <w:pStyle w:val="ListBullet"/>
        <w:spacing w:after="40"/>
      </w:pPr>
      <w:r>
        <w:rPr>
          <w:b/>
          <w:i w:val="0"/>
          <w:sz w:val="20"/>
        </w:rPr>
        <w:t>Ezetimibe systemic exposure.</w:t>
      </w:r>
      <w:r>
        <w:rPr>
          <w:b w:val="0"/>
          <w:i w:val="0"/>
          <w:sz w:val="20"/>
        </w:rPr>
        <w:t xml:space="preserve"> Enterohepatic recirculation limits systemic exposure: ezetimibe and its active glucuronide metabolite circulate enterohepatically, returning the drug to its site of action.</w:t>
      </w:r>
    </w:p>
    <w:p>
      <w:pPr>
        <w:pStyle w:val="Heading2"/>
        <w:spacing w:before="200" w:after="100"/>
      </w:pPr>
      <w:r>
        <w:rPr>
          <w:rFonts w:ascii="Georgia" w:hAnsi="Georgia"/>
          <w:color w:val="6B3524"/>
        </w:rPr>
        <w:t>4.4 · Objectives 1–8 — Bile acid sequestrants</w:t>
      </w:r>
    </w:p>
    <w:p>
      <w:pPr>
        <w:spacing w:after="120"/>
      </w:pPr>
      <w:r>
        <w:rPr>
          <w:b/>
          <w:i w:val="0"/>
        </w:rPr>
        <w:t>Agents:</w:t>
      </w:r>
      <w:r>
        <w:rPr>
          <w:b w:val="0"/>
          <w:i w:val="0"/>
        </w:rPr>
        <w:t xml:space="preserve"> cholestyramine (Questran), colestipol (Colestid), colesevelam (Welchol). </w:t>
      </w:r>
      <w:r>
        <w:rPr>
          <w:b/>
          <w:i w:val="0"/>
        </w:rPr>
        <w:t>Mechanism:</w:t>
      </w:r>
      <w:r>
        <w:rPr>
          <w:b w:val="0"/>
          <w:i w:val="0"/>
        </w:rPr>
        <w:t xml:space="preserve"> they bind bile acids in the gut and </w:t>
      </w:r>
      <w:r>
        <w:rPr>
          <w:b/>
          <w:i w:val="0"/>
        </w:rPr>
        <w:t>prevent their enterohepatic recirculation</w:t>
      </w:r>
      <w:r>
        <w:rPr>
          <w:b w:val="0"/>
          <w:i w:val="0"/>
        </w:rPr>
        <w:t xml:space="preserve"> at the terminal ileum, so they are lost in the feces. The liver makes more bile acid from cholesterol (cholesterol 7-alpha-hydroxylase rises) and makes </w:t>
      </w:r>
      <w:r>
        <w:rPr>
          <w:b/>
          <w:i w:val="0"/>
        </w:rPr>
        <w:t>more LDL receptors</w:t>
      </w:r>
      <w:r>
        <w:rPr>
          <w:b w:val="0"/>
          <w:i w:val="0"/>
        </w:rPr>
        <w:t>, so LDL and VLDL are removed and LDL cholesterol falls.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highlight w:val="yellow"/>
              </w:rPr>
              <w:t>Not absorbed in the GI tract</w:t>
            </w:r>
            <w:r>
              <w:rPr>
                <w:b w:val="0"/>
                <w:i w:val="0"/>
              </w:rPr>
              <w:t xml:space="preserve"> (gastrointestinal) — so no systemic side effects — and therefore </w:t>
            </w:r>
            <w:r>
              <w:rPr>
                <w:b w:val="0"/>
                <w:i w:val="0"/>
                <w:highlight w:val="yellow"/>
              </w:rPr>
              <w:t>approved for children, adolescence and pregnancy</w:t>
            </w:r>
            <w:r>
              <w:rPr>
                <w:b w:val="0"/>
                <w:i w:val="0"/>
              </w:rPr>
              <w:t xml:space="preserve">. The “safest drug because no systemic side effects”, but </w:t>
            </w:r>
            <w:r>
              <w:rPr>
                <w:b/>
                <w:i w:val="0"/>
              </w:rPr>
              <w:t>poorly tolerated</w:t>
            </w:r>
            <w:r>
              <w:rPr>
                <w:b w:val="0"/>
                <w:i w:val="0"/>
              </w:rPr>
              <w:t>, and used mainly with a statin or when only a modest LDL reduction is needed.</w:t>
            </w:r>
          </w:p>
        </w:tc>
      </w:tr>
    </w:tbl>
    <w:p>
      <w:pPr>
        <w:spacing w:after="80"/>
      </w:pPr>
    </w:p>
    <w:p>
      <w:pPr>
        <w:spacing w:after="120"/>
      </w:pPr>
      <w:r>
        <w:rPr>
          <w:b/>
          <w:i w:val="0"/>
        </w:rPr>
        <w:t>Adverse effects:</w:t>
      </w:r>
      <w:r>
        <w:rPr>
          <w:b w:val="0"/>
          <w:i w:val="0"/>
        </w:rPr>
        <w:t xml:space="preserve"> gastrointestinal — bloating, flatulence, fullness, </w:t>
      </w:r>
      <w:r>
        <w:rPr>
          <w:b/>
          <w:i w:val="0"/>
        </w:rPr>
        <w:t>constipation</w:t>
      </w:r>
      <w:r>
        <w:rPr>
          <w:b w:val="0"/>
          <w:i w:val="0"/>
        </w:rPr>
        <w:t xml:space="preserve">, nausea; </w:t>
      </w:r>
      <w:r>
        <w:rPr>
          <w:b/>
          <w:i w:val="0"/>
        </w:rPr>
        <w:t>malabsorption of vitamins A, D, E and K and of folic acid</w:t>
      </w:r>
      <w:r>
        <w:rPr>
          <w:b w:val="0"/>
          <w:i w:val="0"/>
        </w:rPr>
        <w:t xml:space="preserve">; the resin’s chloride raises calcium excretion; raising the dose may add side effects without more benefit; and one that turns into a contraindication: </w:t>
      </w:r>
      <w:r>
        <w:rPr>
          <w:b w:val="0"/>
          <w:i w:val="0"/>
          <w:highlight w:val="yellow"/>
        </w:rPr>
        <w:t>may increase VLDL production → ↑ TG</w:t>
      </w:r>
      <w:r>
        <w:rPr>
          <w:b w:val="0"/>
          <w:i w:val="0"/>
        </w:rPr>
        <w:t xml:space="preserve"> (triglycerides).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Contraindications.</w:t>
            </w:r>
            <w:r>
              <w:rPr>
                <w:b w:val="0"/>
                <w:i w:val="0"/>
              </w:rPr>
              <w:t xml:space="preserve"> </w:t>
            </w:r>
            <w:r>
              <w:rPr>
                <w:b w:val="0"/>
                <w:i w:val="0"/>
                <w:highlight w:val="yellow"/>
              </w:rPr>
              <w:t>Absolute: familial dysbetalipoproteinemia (increased TG); triglycerides &gt; 400 mg/dL. Relative: triglycerides &gt; 200 mg/dL.</w:t>
            </w:r>
          </w:p>
          <w:p>
            <w:pPr>
              <w:spacing w:after="120"/>
            </w:pPr>
            <w:r>
              <w:rPr>
                <w:b w:val="0"/>
                <w:i w:val="0"/>
              </w:rPr>
              <w:t xml:space="preserve">His example stem: a patient with triglycerides of 600 — </w:t>
            </w:r>
            <w:r>
              <w:rPr>
                <w:b w:val="0"/>
                <w:i/>
              </w:rPr>
              <w:t>which of these is contraindicated?</w:t>
            </w:r>
            <w:r>
              <w:rPr>
                <w:b w:val="0"/>
                <w:i w:val="0"/>
              </w:rPr>
              <w:t xml:space="preserve"> The resin. </w:t>
            </w:r>
            <w:r>
              <w:rPr>
                <w:b w:val="0"/>
                <w:i/>
              </w:rPr>
              <w:t>“Slight difference in the question, totally different answer.”</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Interactions and administration.</w:t>
            </w:r>
            <w:r>
              <w:rPr>
                <w:b w:val="0"/>
                <w:i w:val="0"/>
              </w:rPr>
              <w:t xml:space="preserve"> Anion-exchange resins interfere with the absorption of </w:t>
            </w:r>
            <w:r>
              <w:rPr>
                <w:b/>
                <w:i w:val="0"/>
              </w:rPr>
              <w:t>digoxin, warfarin, thyroxine, beta blockers and thiazide diuretics</w:t>
            </w:r>
            <w:r>
              <w:rPr>
                <w:b w:val="0"/>
                <w:i w:val="0"/>
              </w:rPr>
              <w:t xml:space="preserve"> — </w:t>
            </w:r>
            <w:r>
              <w:rPr>
                <w:b w:val="0"/>
                <w:i w:val="0"/>
                <w:highlight w:val="yellow"/>
              </w:rPr>
              <w:t>avoid the interaction by administering the drug 1 hour before or 4 hours after the bile acid sequestrant</w:t>
            </w:r>
            <w:r>
              <w:rPr>
                <w:b w:val="0"/>
                <w:i w:val="0"/>
              </w:rPr>
              <w:t xml:space="preserve">. They also lower ezetimibe levels and interact with fibrates and niacin. Patient education: powders are </w:t>
            </w:r>
            <w:r>
              <w:rPr>
                <w:b/>
                <w:i w:val="0"/>
              </w:rPr>
              <w:t>mixed with water or fruit juice</w:t>
            </w:r>
            <w:r>
              <w:rPr>
                <w:b w:val="0"/>
                <w:i w:val="0"/>
              </w:rPr>
              <w:t xml:space="preserve"> (a pulpy drink masks the taste), taken </w:t>
            </w:r>
            <w:r>
              <w:rPr>
                <w:b/>
                <w:i w:val="0"/>
              </w:rPr>
              <w:t>within 1 hour of a meal</w:t>
            </w:r>
            <w:r>
              <w:rPr>
                <w:b w:val="0"/>
                <w:i w:val="0"/>
              </w:rPr>
              <w:t xml:space="preserve"> — bile acids are released with a meal, so there is something to bind — and </w:t>
            </w:r>
            <w:r>
              <w:rPr>
                <w:b w:val="0"/>
                <w:i w:val="0"/>
                <w:highlight w:val="yellow"/>
              </w:rPr>
              <w:t>separate other medications</w:t>
            </w:r>
            <w:r>
              <w:rPr>
                <w:b w:val="0"/>
                <w:i w:val="0"/>
              </w:rPr>
              <w:t>.</w:t>
            </w:r>
          </w:p>
        </w:tc>
      </w:tr>
    </w:tbl>
    <w:p>
      <w:pPr>
        <w:spacing w:after="80"/>
      </w:pPr>
    </w:p>
    <w:p>
      <w:pPr>
        <w:spacing w:after="120"/>
      </w:pPr>
      <w:r>
        <w:rPr>
          <w:b w:val="0"/>
          <w:i w:val="0"/>
        </w:rPr>
        <w:t>Also tested</w:t>
      </w:r>
    </w:p>
    <w:p>
      <w:pPr>
        <w:pStyle w:val="ListBullet"/>
        <w:spacing w:after="40"/>
      </w:pPr>
      <w:r>
        <w:rPr>
          <w:b/>
          <w:i w:val="0"/>
          <w:sz w:val="20"/>
        </w:rPr>
        <w:t>Bile acid sequestrants and triglycerides.</w:t>
      </w:r>
      <w:r>
        <w:rPr>
          <w:b w:val="0"/>
          <w:i w:val="0"/>
          <w:sz w:val="20"/>
        </w:rPr>
        <w:t xml:space="preserve"> Resins may increase VLDL (very low-density lipoprotein) production and raise triglycerides, so they are avoided when triglycerides are high. On the lipid comparison they show no change or a rise in triglycerides.</w:t>
      </w:r>
    </w:p>
    <w:p>
      <w:pPr>
        <w:pStyle w:val="ListBullet"/>
        <w:spacing w:after="40"/>
      </w:pPr>
      <w:r>
        <w:rPr>
          <w:b/>
          <w:i w:val="0"/>
          <w:sz w:val="20"/>
        </w:rPr>
        <w:t>Resin effect on bile acids.</w:t>
      </w:r>
      <w:r>
        <w:rPr>
          <w:b w:val="0"/>
          <w:i w:val="0"/>
          <w:sz w:val="20"/>
        </w:rPr>
        <w:t xml:space="preserve"> When resins deplete the bile acid pool, cholesterol 7-alpha hydroxylase activity increases and converts more cholesterol to bile acids. The liver also adds LDL receptors, increasing VLDL and LDL removal.</w:t>
      </w:r>
    </w:p>
    <w:p>
      <w:pPr>
        <w:pStyle w:val="ListBullet"/>
        <w:spacing w:after="40"/>
      </w:pPr>
      <w:r>
        <w:rPr>
          <w:b/>
          <w:i w:val="0"/>
          <w:sz w:val="20"/>
        </w:rPr>
        <w:t>Long-term resin risk.</w:t>
      </w:r>
      <w:r>
        <w:rPr>
          <w:b w:val="0"/>
          <w:i w:val="0"/>
          <w:sz w:val="20"/>
        </w:rPr>
        <w:t xml:space="preserve"> Resins such as cholestyramine cause malabsorption of the fat-soluble vitamins A, D, E and K and of folic acid.</w:t>
      </w:r>
    </w:p>
    <w:p>
      <w:pPr>
        <w:pStyle w:val="ListBullet"/>
        <w:spacing w:after="40"/>
      </w:pPr>
      <w:r>
        <w:rPr>
          <w:b/>
          <w:i w:val="0"/>
          <w:sz w:val="20"/>
        </w:rPr>
        <w:t>Cholestyramine powder.</w:t>
      </w:r>
      <w:r>
        <w:rPr>
          <w:b w:val="0"/>
          <w:i w:val="0"/>
          <w:sz w:val="20"/>
        </w:rPr>
        <w:t xml:space="preserve"> Mix it in water or fruit juice; a pulpy drink masks the taste.</w:t>
      </w:r>
    </w:p>
    <w:p>
      <w:pPr>
        <w:pStyle w:val="Heading2"/>
        <w:spacing w:before="200" w:after="100"/>
      </w:pPr>
      <w:r>
        <w:rPr>
          <w:rFonts w:ascii="Georgia" w:hAnsi="Georgia"/>
          <w:color w:val="6B3524"/>
        </w:rPr>
        <w:t>4.5 · Objectives 1–8 — Fibrates</w:t>
      </w:r>
    </w:p>
    <w:p>
      <w:pPr>
        <w:spacing w:after="120"/>
      </w:pPr>
      <w:r>
        <w:rPr>
          <w:b/>
          <w:i w:val="0"/>
        </w:rPr>
        <w:t>Agents:</w:t>
      </w:r>
      <w:r>
        <w:rPr>
          <w:b w:val="0"/>
          <w:i w:val="0"/>
        </w:rPr>
        <w:t xml:space="preserve"> gemfibrozil (Lopid), fenofibrate (Tricor), bezafibrate (Bezalip SR). </w:t>
      </w:r>
      <w:r>
        <w:rPr>
          <w:b/>
          <w:i w:val="0"/>
        </w:rPr>
        <w:t>Mechanism:</w:t>
      </w:r>
      <w:r>
        <w:rPr>
          <w:b w:val="0"/>
          <w:i w:val="0"/>
        </w:rPr>
        <w:t xml:space="preserve"> </w:t>
      </w:r>
      <w:r>
        <w:rPr>
          <w:b w:val="0"/>
          <w:i w:val="0"/>
          <w:highlight w:val="yellow"/>
        </w:rPr>
        <w:t>activates PPAR-alpha</w:t>
      </w:r>
      <w:r>
        <w:rPr>
          <w:b w:val="0"/>
          <w:i w:val="0"/>
        </w:rPr>
        <w:t xml:space="preserve"> (peroxisome proliferator-activated receptor alpha, a nuclear transcription factor) → more fatty acid oxidation → less secretion of triglyceride-rich VLDL → </w:t>
      </w:r>
      <w:r>
        <w:rPr>
          <w:b w:val="0"/>
          <w:i w:val="0"/>
          <w:highlight w:val="yellow"/>
        </w:rPr>
        <w:t>decrease in triglycerides</w:t>
      </w:r>
      <w:r>
        <w:rPr>
          <w:b w:val="0"/>
          <w:i w:val="0"/>
        </w:rPr>
        <w:t xml:space="preserve">; and </w:t>
      </w:r>
      <w:r>
        <w:rPr>
          <w:b w:val="0"/>
          <w:i w:val="0"/>
          <w:highlight w:val="yellow"/>
        </w:rPr>
        <w:t>increases expression of ApoA-1 → increase in HDL</w:t>
      </w:r>
      <w:r>
        <w:rPr>
          <w:b w:val="0"/>
          <w:i w:val="0"/>
        </w:rPr>
        <w:t>. The figure adds more lipoprotein lipase and less ApoC-III.</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Indication</w:t>
            </w:r>
          </w:p>
        </w:tc>
        <w:tc>
          <w:tcPr>
            <w:tcW w:type="dxa" w:w="7272"/>
          </w:tcPr>
          <w:p>
            <w:pPr>
              <w:spacing w:after="40"/>
            </w:pPr>
            <w:r>
              <w:rPr>
                <w:sz w:val="18"/>
              </w:rPr>
            </w:r>
            <w:r>
              <w:rPr>
                <w:b w:val="0"/>
                <w:i w:val="0"/>
                <w:sz w:val="18"/>
                <w:highlight w:val="yellow"/>
              </w:rPr>
              <w:t>Primary indication TG &gt; 1000 mg/dL or low HDL</w:t>
            </w:r>
          </w:p>
        </w:tc>
      </w:tr>
      <w:tr>
        <w:tc>
          <w:tcPr>
            <w:tcW w:type="dxa" w:w="7272"/>
            <w:shd w:val="clear" w:color="auto" w:fill="6B3524"/>
          </w:tcPr>
          <w:p>
            <w:pPr>
              <w:spacing w:after="40"/>
            </w:pPr>
            <w:r>
              <w:rPr>
                <w:b/>
                <w:color w:val="FFFFFF"/>
                <w:sz w:val="18"/>
              </w:rPr>
            </w:r>
            <w:r>
              <w:rPr>
                <w:b/>
                <w:i w:val="0"/>
                <w:color w:val="FFFFFF"/>
                <w:sz w:val="18"/>
              </w:rPr>
              <w:t>Adverse effects</w:t>
            </w:r>
          </w:p>
        </w:tc>
        <w:tc>
          <w:tcPr>
            <w:tcW w:type="dxa" w:w="7272"/>
          </w:tcPr>
          <w:p>
            <w:pPr>
              <w:spacing w:after="40"/>
            </w:pPr>
            <w:r>
              <w:rPr>
                <w:sz w:val="18"/>
              </w:rPr>
            </w:r>
            <w:r>
              <w:rPr>
                <w:b w:val="0"/>
                <w:i w:val="0"/>
                <w:sz w:val="18"/>
              </w:rPr>
              <w:t xml:space="preserve">Gastrointestinal (nausea, abdominal pain, diarrhea); </w:t>
            </w:r>
            <w:r>
              <w:rPr>
                <w:b/>
                <w:i w:val="0"/>
                <w:sz w:val="18"/>
              </w:rPr>
              <w:t>cholelithiasis</w:t>
            </w:r>
            <w:r>
              <w:rPr>
                <w:b w:val="0"/>
                <w:i w:val="0"/>
                <w:sz w:val="18"/>
              </w:rPr>
              <w:t xml:space="preserve">; </w:t>
            </w:r>
            <w:r>
              <w:rPr>
                <w:b/>
                <w:i w:val="0"/>
                <w:sz w:val="18"/>
              </w:rPr>
              <w:t>myopathy</w:t>
            </w:r>
          </w:p>
        </w:tc>
      </w:tr>
      <w:tr>
        <w:tc>
          <w:tcPr>
            <w:tcW w:type="dxa" w:w="7272"/>
            <w:shd w:val="clear" w:color="auto" w:fill="6B3524"/>
          </w:tcPr>
          <w:p>
            <w:pPr>
              <w:spacing w:after="40"/>
            </w:pPr>
            <w:r>
              <w:rPr>
                <w:b/>
                <w:color w:val="FFFFFF"/>
                <w:sz w:val="18"/>
              </w:rPr>
            </w:r>
            <w:r>
              <w:rPr>
                <w:b/>
                <w:i w:val="0"/>
                <w:color w:val="FFFFFF"/>
                <w:sz w:val="18"/>
              </w:rPr>
              <w:t>Contraindications</w:t>
            </w:r>
          </w:p>
        </w:tc>
        <w:tc>
          <w:tcPr>
            <w:tcW w:type="dxa" w:w="7272"/>
          </w:tcPr>
          <w:p>
            <w:pPr>
              <w:spacing w:after="40"/>
            </w:pPr>
            <w:r>
              <w:rPr>
                <w:sz w:val="18"/>
              </w:rPr>
            </w:r>
            <w:r>
              <w:rPr>
                <w:b/>
                <w:i w:val="0"/>
                <w:sz w:val="18"/>
              </w:rPr>
              <w:t>Pregnancy; severe hepatic or renal dysfunction; existing gallbladder disease</w:t>
            </w:r>
          </w:p>
        </w:tc>
      </w:tr>
      <w:tr>
        <w:tc>
          <w:tcPr>
            <w:tcW w:type="dxa" w:w="7272"/>
            <w:shd w:val="clear" w:color="auto" w:fill="6B3524"/>
          </w:tcPr>
          <w:p>
            <w:pPr>
              <w:spacing w:after="40"/>
            </w:pPr>
            <w:r>
              <w:rPr>
                <w:b/>
                <w:color w:val="FFFFFF"/>
                <w:sz w:val="18"/>
              </w:rPr>
            </w:r>
            <w:r>
              <w:rPr>
                <w:b/>
                <w:i w:val="0"/>
                <w:color w:val="FFFFFF"/>
                <w:sz w:val="18"/>
              </w:rPr>
              <w:t>Interactions</w:t>
            </w:r>
          </w:p>
        </w:tc>
        <w:tc>
          <w:tcPr>
            <w:tcW w:type="dxa" w:w="7272"/>
          </w:tcPr>
          <w:p>
            <w:pPr>
              <w:spacing w:after="40"/>
            </w:pPr>
            <w:r>
              <w:rPr>
                <w:sz w:val="18"/>
              </w:rPr>
            </w:r>
            <w:r>
              <w:rPr>
                <w:b/>
                <w:i w:val="0"/>
                <w:sz w:val="18"/>
              </w:rPr>
              <w:t>Increase the anticoagulant effect of warfarin</w:t>
            </w:r>
            <w:r>
              <w:rPr>
                <w:b w:val="0"/>
                <w:i w:val="0"/>
                <w:sz w:val="18"/>
              </w:rPr>
              <w:t>; statins (myopathy — gemfibrozil is a relative contraindication with a statin); ezetimibe (gallstones); bile acid sequestrants</w:t>
            </w:r>
          </w:p>
        </w:tc>
      </w:tr>
    </w:tbl>
    <w:p>
      <w:pPr>
        <w:spacing w:after="80"/>
      </w:pPr>
    </w:p>
    <w:p>
      <w:pPr>
        <w:spacing w:after="120"/>
      </w:pPr>
      <w:r>
        <w:rPr>
          <w:b w:val="0"/>
          <w:i w:val="0"/>
        </w:rPr>
        <w:t xml:space="preserve">His example stem: a patient whose only problem is very high triglycerides — which drug is best at lowering them? </w:t>
      </w:r>
      <w:r>
        <w:rPr>
          <w:b w:val="0"/>
          <w:i/>
        </w:rPr>
        <w:t>“It’s either the fibrates or”</w:t>
      </w:r>
      <w:r>
        <w:rPr>
          <w:b w:val="0"/>
          <w:i w:val="0"/>
        </w:rPr>
        <w:t xml:space="preserve"> niacin.</w:t>
      </w:r>
    </w:p>
    <w:p>
      <w:pPr>
        <w:spacing w:after="120"/>
      </w:pPr>
      <w:r>
        <w:rPr>
          <w:b w:val="0"/>
          <w:i w:val="0"/>
        </w:rPr>
        <w:t>Also tested</w:t>
      </w:r>
    </w:p>
    <w:p>
      <w:pPr>
        <w:pStyle w:val="ListBullet"/>
        <w:spacing w:after="40"/>
      </w:pPr>
      <w:r>
        <w:rPr>
          <w:b/>
          <w:i w:val="0"/>
          <w:sz w:val="20"/>
        </w:rPr>
        <w:t>Fibrate interactions.</w:t>
      </w:r>
      <w:r>
        <w:rPr>
          <w:b w:val="0"/>
          <w:i w:val="0"/>
          <w:sz w:val="20"/>
        </w:rPr>
        <w:t xml:space="preserve"> Fibrates such as gemfibrozil increase the anticoagulant effect of warfarin. They also interact with statins, ezetimibe and bile acid sequestrants.</w:t>
      </w:r>
    </w:p>
    <w:p>
      <w:pPr>
        <w:pStyle w:val="ListBullet"/>
        <w:spacing w:after="40"/>
      </w:pPr>
      <w:r>
        <w:rPr>
          <w:b/>
          <w:i w:val="0"/>
          <w:sz w:val="20"/>
        </w:rPr>
        <w:t>Fibrate indication.</w:t>
      </w:r>
      <w:r>
        <w:rPr>
          <w:b w:val="0"/>
          <w:i w:val="0"/>
          <w:sz w:val="20"/>
        </w:rPr>
        <w:t xml:space="preserve"> Triglycerides over 1000 mg/dL are the primary indication for a fibrate. Fibrates lower triglycerides by 20 to 50%, and niacin by a similar amount.</w:t>
      </w:r>
    </w:p>
    <w:p>
      <w:pPr>
        <w:pStyle w:val="Heading2"/>
        <w:spacing w:before="200" w:after="100"/>
      </w:pPr>
      <w:r>
        <w:rPr>
          <w:rFonts w:ascii="Georgia" w:hAnsi="Georgia"/>
          <w:color w:val="6B3524"/>
        </w:rPr>
        <w:t>4.6 · Objectives 1–8 — Niacin</w:t>
      </w:r>
    </w:p>
    <w:p>
      <w:pPr>
        <w:spacing w:after="120"/>
      </w:pPr>
      <w:r>
        <w:rPr>
          <w:b/>
          <w:i w:val="0"/>
        </w:rPr>
        <w:t>Niacin (nicotinic acid)</w:t>
      </w:r>
      <w:r>
        <w:rPr>
          <w:b w:val="0"/>
          <w:i w:val="0"/>
        </w:rPr>
        <w:t xml:space="preserve"> is a B-complex vitamin; its amide, </w:t>
      </w:r>
      <w:r>
        <w:rPr>
          <w:b/>
          <w:i w:val="0"/>
        </w:rPr>
        <w:t>niacinamide (nicotinamide), is not an antilipemic</w:t>
      </w:r>
      <w:r>
        <w:rPr>
          <w:b w:val="0"/>
          <w:i w:val="0"/>
        </w:rPr>
        <w:t xml:space="preserve">. </w:t>
      </w:r>
      <w:r>
        <w:rPr>
          <w:b/>
          <w:i w:val="0"/>
        </w:rPr>
        <w:t>Mechanism:</w:t>
      </w:r>
      <w:r>
        <w:rPr>
          <w:b w:val="0"/>
          <w:i w:val="0"/>
        </w:rPr>
        <w:t xml:space="preserve"> it reduces the mobilization of free fatty acids from adipose tissue, so the liver makes less triglyceride and </w:t>
      </w:r>
      <w:r>
        <w:rPr>
          <w:b/>
          <w:i w:val="0"/>
        </w:rPr>
        <w:t>less VLDL and apolipoprotein B</w:t>
      </w:r>
      <w:r>
        <w:rPr>
          <w:b w:val="0"/>
          <w:i w:val="0"/>
        </w:rPr>
        <w:t xml:space="preserve">, so less LDL is formed; and </w:t>
      </w:r>
      <w:r>
        <w:rPr>
          <w:b/>
          <w:i w:val="0"/>
        </w:rPr>
        <w:t>HDL rises</w:t>
      </w:r>
      <w:r>
        <w:rPr>
          <w:b w:val="0"/>
          <w:i w:val="0"/>
        </w:rPr>
        <w:t xml:space="preserve"> — the largest HDL rise of any class. Products come as immediate release (a supplement, and Niacor), long-acting (supplement) and extended release (Niaspan). </w:t>
      </w:r>
      <w:r>
        <w:rPr>
          <w:b/>
          <w:i w:val="0"/>
        </w:rPr>
        <w:t>Indication:</w:t>
      </w:r>
      <w:r>
        <w:rPr>
          <w:b w:val="0"/>
          <w:i w:val="0"/>
        </w:rPr>
        <w:t xml:space="preserve"> atherogenic dyslipidemia, including in combination when LDL is also high.</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Adverse effects</w:t>
            </w:r>
          </w:p>
        </w:tc>
        <w:tc>
          <w:tcPr>
            <w:tcW w:type="dxa" w:w="7272"/>
          </w:tcPr>
          <w:p>
            <w:pPr>
              <w:spacing w:after="40"/>
            </w:pPr>
            <w:r>
              <w:rPr>
                <w:sz w:val="18"/>
              </w:rPr>
            </w:r>
            <w:r>
              <w:rPr>
                <w:b w:val="0"/>
                <w:i w:val="0"/>
                <w:sz w:val="18"/>
                <w:highlight w:val="yellow"/>
              </w:rPr>
              <w:t>Cutaneous flushing — prostaglandin mediated effect — minimized by premedication with ASA</w:t>
            </w:r>
            <w:r>
              <w:rPr>
                <w:b w:val="0"/>
                <w:i w:val="0"/>
                <w:sz w:val="18"/>
              </w:rPr>
              <w:t xml:space="preserve"> (aspirin), which blocks prostaglandin synthesis; nausea and abdominal discomfort; at larger doses </w:t>
            </w:r>
            <w:r>
              <w:rPr>
                <w:b/>
                <w:i w:val="0"/>
                <w:sz w:val="18"/>
              </w:rPr>
              <w:t>raised liver enzymes, glucose and uric acid</w:t>
            </w:r>
            <w:r>
              <w:rPr>
                <w:b w:val="0"/>
                <w:i w:val="0"/>
                <w:sz w:val="18"/>
              </w:rPr>
              <w:t>, and reduced glucose tolerance. The slide also lists immediate against extended release under adverse effects</w:t>
            </w:r>
          </w:p>
        </w:tc>
      </w:tr>
      <w:tr>
        <w:tc>
          <w:tcPr>
            <w:tcW w:type="dxa" w:w="7272"/>
            <w:shd w:val="clear" w:color="auto" w:fill="6B3524"/>
          </w:tcPr>
          <w:p>
            <w:pPr>
              <w:spacing w:after="40"/>
            </w:pPr>
            <w:r>
              <w:rPr>
                <w:b/>
                <w:color w:val="FFFFFF"/>
                <w:sz w:val="18"/>
              </w:rPr>
            </w:r>
            <w:r>
              <w:rPr>
                <w:b/>
                <w:i w:val="0"/>
                <w:color w:val="FFFFFF"/>
                <w:sz w:val="18"/>
              </w:rPr>
              <w:t>Contraindications</w:t>
            </w:r>
          </w:p>
        </w:tc>
        <w:tc>
          <w:tcPr>
            <w:tcW w:type="dxa" w:w="7272"/>
          </w:tcPr>
          <w:p>
            <w:pPr>
              <w:spacing w:after="40"/>
            </w:pPr>
            <w:r>
              <w:rPr>
                <w:sz w:val="18"/>
              </w:rPr>
            </w:r>
            <w:r>
              <w:rPr>
                <w:b w:val="0"/>
                <w:i w:val="0"/>
                <w:sz w:val="18"/>
                <w:highlight w:val="yellow"/>
              </w:rPr>
              <w:t>Absolute: chronic liver disease. Relative: peptic ulcer disease, history of symptomatic gout, significant hyperuricemia, diabetes (glucose intolerance)</w:t>
            </w:r>
          </w:p>
        </w:tc>
      </w:tr>
      <w:tr>
        <w:tc>
          <w:tcPr>
            <w:tcW w:type="dxa" w:w="7272"/>
            <w:shd w:val="clear" w:color="auto" w:fill="6B3524"/>
          </w:tcPr>
          <w:p>
            <w:pPr>
              <w:spacing w:after="40"/>
            </w:pPr>
            <w:r>
              <w:rPr>
                <w:b/>
                <w:color w:val="FFFFFF"/>
                <w:sz w:val="18"/>
              </w:rPr>
            </w:r>
            <w:r>
              <w:rPr>
                <w:b/>
                <w:i w:val="0"/>
                <w:color w:val="FFFFFF"/>
                <w:sz w:val="18"/>
              </w:rPr>
              <w:t>Interactions</w:t>
            </w:r>
          </w:p>
        </w:tc>
        <w:tc>
          <w:tcPr>
            <w:tcW w:type="dxa" w:w="7272"/>
          </w:tcPr>
          <w:p>
            <w:pPr>
              <w:spacing w:after="40"/>
            </w:pPr>
            <w:r>
              <w:rPr>
                <w:sz w:val="18"/>
              </w:rPr>
            </w:r>
            <w:r>
              <w:rPr>
                <w:b w:val="0"/>
                <w:i w:val="0"/>
                <w:sz w:val="18"/>
              </w:rPr>
              <w:t xml:space="preserve">Statins; bile acid sequestrants; </w:t>
            </w:r>
            <w:r>
              <w:rPr>
                <w:b/>
                <w:i w:val="0"/>
                <w:sz w:val="18"/>
              </w:rPr>
              <w:t>alcohol</w:t>
            </w:r>
          </w:p>
        </w:tc>
      </w:tr>
    </w:tbl>
    <w:p>
      <w:pPr>
        <w:spacing w:after="80"/>
      </w:pPr>
    </w:p>
    <w:p>
      <w:pPr>
        <w:spacing w:after="120"/>
      </w:pPr>
      <w:r>
        <w:rPr>
          <w:b w:val="0"/>
          <w:i w:val="0"/>
        </w:rPr>
        <w:t xml:space="preserve">Each relative contraindication is one of niacin’s own adverse effects meeting a patient who already has it: raised uric acid in gout, raised glucose in diabetes, the liver in liver disease. The </w:t>
      </w:r>
      <w:r>
        <w:rPr>
          <w:b/>
          <w:i w:val="0"/>
        </w:rPr>
        <w:t>lovastatin/niacin extended-release combination (Advicor)</w:t>
      </w:r>
      <w:r>
        <w:rPr>
          <w:b w:val="0"/>
          <w:i w:val="0"/>
        </w:rPr>
        <w:t xml:space="preserve"> carries the adverse effects of both — hepatotoxicity, myopathy and flushing.</w:t>
      </w:r>
    </w:p>
    <w:p>
      <w:pPr>
        <w:spacing w:after="120"/>
      </w:pPr>
      <w:r>
        <w:rPr>
          <w:b w:val="0"/>
          <w:i w:val="0"/>
        </w:rPr>
        <w:t>Also tested</w:t>
      </w:r>
    </w:p>
    <w:p>
      <w:pPr>
        <w:pStyle w:val="ListBullet"/>
        <w:spacing w:after="40"/>
      </w:pPr>
      <w:r>
        <w:rPr>
          <w:b/>
          <w:i w:val="0"/>
          <w:sz w:val="20"/>
        </w:rPr>
        <w:t>Niacin flushing.</w:t>
      </w:r>
      <w:r>
        <w:rPr>
          <w:b w:val="0"/>
          <w:i w:val="0"/>
          <w:sz w:val="20"/>
        </w:rPr>
        <w:t xml:space="preserve"> Flushing is prostaglandin mediated and is minimized by premedication with aspirin, so patients should take aspirin beforehand.</w:t>
      </w:r>
    </w:p>
    <w:p>
      <w:pPr>
        <w:pStyle w:val="ListBullet"/>
        <w:spacing w:after="40"/>
      </w:pPr>
      <w:r>
        <w:rPr>
          <w:b/>
          <w:i w:val="0"/>
          <w:sz w:val="20"/>
        </w:rPr>
        <w:t>Niacin and gout.</w:t>
      </w:r>
      <w:r>
        <w:rPr>
          <w:b w:val="0"/>
          <w:i w:val="0"/>
          <w:sz w:val="20"/>
        </w:rPr>
        <w:t xml:space="preserve"> Symptomatic gout is a relative contraindication because niacin raises uric acid; at larger doses it also raises liver enzymes and glucose.</w:t>
      </w:r>
    </w:p>
    <w:p>
      <w:pPr>
        <w:pStyle w:val="ListBullet"/>
        <w:spacing w:after="40"/>
      </w:pPr>
      <w:r>
        <w:rPr>
          <w:b/>
          <w:i w:val="0"/>
          <w:sz w:val="20"/>
        </w:rPr>
        <w:t>Niacin and glucose.</w:t>
      </w:r>
      <w:r>
        <w:rPr>
          <w:b w:val="0"/>
          <w:i w:val="0"/>
          <w:sz w:val="20"/>
        </w:rPr>
        <w:t xml:space="preserve"> Larger doses raise glucose and decrease glucose tolerance, making diabetes a relative contraindication.</w:t>
      </w:r>
    </w:p>
    <w:p>
      <w:pPr>
        <w:pStyle w:val="ListBullet"/>
        <w:spacing w:after="40"/>
      </w:pPr>
      <w:r>
        <w:rPr>
          <w:b/>
          <w:i w:val="0"/>
          <w:sz w:val="20"/>
        </w:rPr>
        <w:t>Niacin and hepatic VLDL production.</w:t>
      </w:r>
      <w:r>
        <w:rPr>
          <w:b w:val="0"/>
          <w:i w:val="0"/>
          <w:sz w:val="20"/>
        </w:rPr>
        <w:t xml:space="preserve"> Niacin decreases mobilization of free fatty acids from fat (adipose tissue), so less fatty acid is mobilized and the liver makes less triglyceride, VLDL (very low-density lipoprotein) and apo B; LDL falls and HDL rises.</w:t>
      </w:r>
    </w:p>
    <w:p>
      <w:pPr>
        <w:pStyle w:val="Heading2"/>
        <w:spacing w:before="200" w:after="100"/>
      </w:pPr>
      <w:r>
        <w:rPr>
          <w:rFonts w:ascii="Georgia" w:hAnsi="Georgia"/>
          <w:color w:val="6B3524"/>
        </w:rPr>
        <w:t>4.7 · Objectives 1–6 — PCSK9 inhibitors</w:t>
      </w:r>
    </w:p>
    <w:p>
      <w:pPr>
        <w:spacing w:after="120"/>
      </w:pPr>
      <w:r>
        <w:rPr>
          <w:b/>
          <w:i w:val="0"/>
        </w:rPr>
        <w:t>Alirocumab (Praluent) and evolocumab (Repatha)</w:t>
      </w:r>
      <w:r>
        <w:rPr>
          <w:b w:val="0"/>
          <w:i w:val="0"/>
        </w:rPr>
        <w:t xml:space="preserve"> — the -mab tells you they are </w:t>
      </w:r>
      <w:r>
        <w:rPr>
          <w:b/>
          <w:i w:val="0"/>
        </w:rPr>
        <w:t>monoclonal antibodies</w:t>
      </w:r>
      <w:r>
        <w:rPr>
          <w:b w:val="0"/>
          <w:i w:val="0"/>
        </w:rPr>
        <w:t xml:space="preserve">, so they are </w:t>
      </w:r>
      <w:r>
        <w:rPr>
          <w:b/>
          <w:i w:val="0"/>
        </w:rPr>
        <w:t>injectable only</w:t>
      </w:r>
      <w:r>
        <w:rPr>
          <w:b w:val="0"/>
          <w:i w:val="0"/>
        </w:rPr>
        <w:t xml:space="preserve">, and they are expensive. PCSK9 (proprotein convertase subtilisin/kexin type 9) is </w:t>
      </w:r>
      <w:r>
        <w:rPr>
          <w:b/>
          <w:i w:val="0"/>
        </w:rPr>
        <w:t>responsible for processing hepatic LDL receptors</w:t>
      </w:r>
      <w:r>
        <w:rPr>
          <w:b w:val="0"/>
          <w:i w:val="0"/>
        </w:rPr>
        <w:t xml:space="preserve">; blocking it </w:t>
      </w:r>
      <w:r>
        <w:rPr>
          <w:b/>
          <w:i w:val="0"/>
        </w:rPr>
        <w:t>keeps LDL receptors active longer</w:t>
      </w:r>
      <w:r>
        <w:rPr>
          <w:b w:val="0"/>
          <w:i w:val="0"/>
        </w:rPr>
        <w:t xml:space="preserve">, and LDL falls by roughly half. </w:t>
      </w:r>
      <w:r>
        <w:rPr>
          <w:b/>
          <w:i w:val="0"/>
        </w:rPr>
        <w:t>The most serious adverse reaction is hypersensitivity.</w:t>
      </w:r>
      <w:r>
        <w:rPr>
          <w:b w:val="0"/>
          <w:i w:val="0"/>
        </w:rPr>
        <w:t xml:space="preserve"> The slide gives no indications, contraindications or interactions.</w:t>
      </w:r>
    </w:p>
    <w:p>
      <w:pPr>
        <w:pStyle w:val="Heading2"/>
        <w:spacing w:before="200" w:after="100"/>
      </w:pPr>
      <w:r>
        <w:rPr>
          <w:rFonts w:ascii="Georgia" w:hAnsi="Georgia"/>
          <w:color w:val="6B3524"/>
        </w:rPr>
        <w:t>4.8 · Objective 3 — Which class for which lipid</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6B3524"/>
                </w:tcPr>
                <w:p>
                  <w:pPr>
                    <w:spacing w:after="40"/>
                  </w:pPr>
                  <w:r>
                    <w:rPr>
                      <w:b/>
                      <w:color w:val="FFFFFF"/>
                      <w:sz w:val="18"/>
                    </w:rPr>
                  </w:r>
                  <w:r>
                    <w:rPr>
                      <w:b/>
                      <w:i w:val="0"/>
                      <w:color w:val="FFFFFF"/>
                      <w:sz w:val="18"/>
                    </w:rPr>
                    <w:t>Class</w:t>
                  </w:r>
                </w:p>
              </w:tc>
              <w:tc>
                <w:tcPr>
                  <w:tcW w:type="dxa" w:w="3636"/>
                  <w:shd w:val="clear" w:color="auto" w:fill="6B3524"/>
                </w:tcPr>
                <w:p>
                  <w:pPr>
                    <w:spacing w:after="40"/>
                  </w:pPr>
                  <w:r>
                    <w:rPr>
                      <w:b/>
                      <w:color w:val="FFFFFF"/>
                      <w:sz w:val="18"/>
                    </w:rPr>
                  </w:r>
                  <w:r>
                    <w:rPr>
                      <w:b/>
                      <w:i w:val="0"/>
                      <w:color w:val="FFFFFF"/>
                      <w:sz w:val="18"/>
                    </w:rPr>
                    <w:t>LDL cholesterol</w:t>
                  </w:r>
                </w:p>
              </w:tc>
              <w:tc>
                <w:tcPr>
                  <w:tcW w:type="dxa" w:w="3636"/>
                  <w:shd w:val="clear" w:color="auto" w:fill="6B3524"/>
                </w:tcPr>
                <w:p>
                  <w:pPr>
                    <w:spacing w:after="40"/>
                  </w:pPr>
                  <w:r>
                    <w:rPr>
                      <w:b/>
                      <w:color w:val="FFFFFF"/>
                      <w:sz w:val="18"/>
                    </w:rPr>
                  </w:r>
                  <w:r>
                    <w:rPr>
                      <w:b/>
                      <w:i w:val="0"/>
                      <w:color w:val="FFFFFF"/>
                      <w:sz w:val="18"/>
                    </w:rPr>
                    <w:t>HDL cholesterol</w:t>
                  </w:r>
                </w:p>
              </w:tc>
              <w:tc>
                <w:tcPr>
                  <w:tcW w:type="dxa" w:w="3636"/>
                  <w:shd w:val="clear" w:color="auto" w:fill="6B3524"/>
                </w:tcPr>
                <w:p>
                  <w:pPr>
                    <w:spacing w:after="40"/>
                  </w:pPr>
                  <w:r>
                    <w:rPr>
                      <w:b/>
                      <w:color w:val="FFFFFF"/>
                      <w:sz w:val="18"/>
                    </w:rPr>
                  </w:r>
                  <w:r>
                    <w:rPr>
                      <w:b/>
                      <w:i w:val="0"/>
                      <w:color w:val="FFFFFF"/>
                      <w:sz w:val="18"/>
                    </w:rPr>
                    <w:t>Triglycerides</w:t>
                  </w:r>
                </w:p>
              </w:tc>
            </w:tr>
            <w:tr>
              <w:tc>
                <w:tcPr>
                  <w:tcW w:type="dxa" w:w="3636"/>
                </w:tcPr>
                <w:p>
                  <w:pPr>
                    <w:spacing w:after="40"/>
                  </w:pPr>
                  <w:r>
                    <w:rPr>
                      <w:sz w:val="18"/>
                    </w:rPr>
                  </w:r>
                  <w:r>
                    <w:rPr>
                      <w:b w:val="0"/>
                      <w:i w:val="0"/>
                      <w:sz w:val="18"/>
                    </w:rPr>
                    <w:t>Statins</w:t>
                  </w:r>
                </w:p>
              </w:tc>
              <w:tc>
                <w:tcPr>
                  <w:tcW w:type="dxa" w:w="3636"/>
                </w:tcPr>
                <w:p>
                  <w:pPr>
                    <w:spacing w:after="40"/>
                  </w:pPr>
                  <w:r>
                    <w:rPr>
                      <w:sz w:val="18"/>
                    </w:rPr>
                  </w:r>
                  <w:r>
                    <w:rPr>
                      <w:b w:val="0"/>
                      <w:i w:val="0"/>
                      <w:sz w:val="18"/>
                    </w:rPr>
                    <w:t>↓ 18–55%</w:t>
                  </w:r>
                </w:p>
              </w:tc>
              <w:tc>
                <w:tcPr>
                  <w:tcW w:type="dxa" w:w="3636"/>
                </w:tcPr>
                <w:p>
                  <w:pPr>
                    <w:spacing w:after="40"/>
                  </w:pPr>
                  <w:r>
                    <w:rPr>
                      <w:sz w:val="18"/>
                    </w:rPr>
                  </w:r>
                  <w:r>
                    <w:rPr>
                      <w:b w:val="0"/>
                      <w:i w:val="0"/>
                      <w:sz w:val="18"/>
                    </w:rPr>
                    <w:t>↑ 5–15%</w:t>
                  </w:r>
                </w:p>
              </w:tc>
              <w:tc>
                <w:tcPr>
                  <w:tcW w:type="dxa" w:w="3636"/>
                </w:tcPr>
                <w:p>
                  <w:pPr>
                    <w:spacing w:after="40"/>
                  </w:pPr>
                  <w:r>
                    <w:rPr>
                      <w:sz w:val="18"/>
                    </w:rPr>
                  </w:r>
                  <w:r>
                    <w:rPr>
                      <w:b w:val="0"/>
                      <w:i w:val="0"/>
                      <w:sz w:val="18"/>
                    </w:rPr>
                    <w:t>↓ 7–30%</w:t>
                  </w:r>
                </w:p>
              </w:tc>
            </w:tr>
            <w:tr>
              <w:tc>
                <w:tcPr>
                  <w:tcW w:type="dxa" w:w="3636"/>
                </w:tcPr>
                <w:p>
                  <w:pPr>
                    <w:spacing w:after="40"/>
                  </w:pPr>
                  <w:r>
                    <w:rPr>
                      <w:sz w:val="18"/>
                    </w:rPr>
                  </w:r>
                  <w:r>
                    <w:rPr>
                      <w:b w:val="0"/>
                      <w:i w:val="0"/>
                      <w:sz w:val="18"/>
                    </w:rPr>
                    <w:t>Resins</w:t>
                  </w:r>
                </w:p>
              </w:tc>
              <w:tc>
                <w:tcPr>
                  <w:tcW w:type="dxa" w:w="3636"/>
                </w:tcPr>
                <w:p>
                  <w:pPr>
                    <w:spacing w:after="40"/>
                  </w:pPr>
                  <w:r>
                    <w:rPr>
                      <w:sz w:val="18"/>
                    </w:rPr>
                  </w:r>
                  <w:r>
                    <w:rPr>
                      <w:b w:val="0"/>
                      <w:i w:val="0"/>
                      <w:sz w:val="18"/>
                    </w:rPr>
                    <w:t>↓ 15–50%</w:t>
                  </w:r>
                </w:p>
              </w:tc>
              <w:tc>
                <w:tcPr>
                  <w:tcW w:type="dxa" w:w="3636"/>
                </w:tcPr>
                <w:p>
                  <w:pPr>
                    <w:spacing w:after="40"/>
                  </w:pPr>
                  <w:r>
                    <w:rPr>
                      <w:sz w:val="18"/>
                    </w:rPr>
                  </w:r>
                  <w:r>
                    <w:rPr>
                      <w:b w:val="0"/>
                      <w:i w:val="0"/>
                      <w:sz w:val="18"/>
                    </w:rPr>
                    <w:t>↑ 3–5%</w:t>
                  </w:r>
                </w:p>
              </w:tc>
              <w:tc>
                <w:tcPr>
                  <w:tcW w:type="dxa" w:w="3636"/>
                </w:tcPr>
                <w:p>
                  <w:pPr>
                    <w:spacing w:after="40"/>
                  </w:pPr>
                  <w:r>
                    <w:rPr>
                      <w:sz w:val="18"/>
                    </w:rPr>
                  </w:r>
                  <w:r>
                    <w:rPr>
                      <w:b w:val="0"/>
                      <w:i w:val="0"/>
                      <w:sz w:val="18"/>
                      <w:highlight w:val="yellow"/>
                    </w:rPr>
                    <w:t>No change / ↑</w:t>
                  </w:r>
                </w:p>
              </w:tc>
            </w:tr>
            <w:tr>
              <w:tc>
                <w:tcPr>
                  <w:tcW w:type="dxa" w:w="3636"/>
                </w:tcPr>
                <w:p>
                  <w:pPr>
                    <w:spacing w:after="40"/>
                  </w:pPr>
                  <w:r>
                    <w:rPr>
                      <w:sz w:val="18"/>
                    </w:rPr>
                  </w:r>
                  <w:r>
                    <w:rPr>
                      <w:b w:val="0"/>
                      <w:i w:val="0"/>
                      <w:sz w:val="18"/>
                    </w:rPr>
                    <w:t>Nicotinic acid</w:t>
                  </w:r>
                </w:p>
              </w:tc>
              <w:tc>
                <w:tcPr>
                  <w:tcW w:type="dxa" w:w="3636"/>
                </w:tcPr>
                <w:p>
                  <w:pPr>
                    <w:spacing w:after="40"/>
                  </w:pPr>
                  <w:r>
                    <w:rPr>
                      <w:sz w:val="18"/>
                    </w:rPr>
                  </w:r>
                  <w:r>
                    <w:rPr>
                      <w:b w:val="0"/>
                      <w:i w:val="0"/>
                      <w:sz w:val="18"/>
                    </w:rPr>
                    <w:t>↓ 5–25%</w:t>
                  </w:r>
                </w:p>
              </w:tc>
              <w:tc>
                <w:tcPr>
                  <w:tcW w:type="dxa" w:w="3636"/>
                </w:tcPr>
                <w:p>
                  <w:pPr>
                    <w:spacing w:after="40"/>
                  </w:pPr>
                  <w:r>
                    <w:rPr>
                      <w:sz w:val="18"/>
                    </w:rPr>
                  </w:r>
                  <w:r>
                    <w:rPr>
                      <w:b w:val="0"/>
                      <w:i w:val="0"/>
                      <w:sz w:val="18"/>
                      <w:highlight w:val="yellow"/>
                    </w:rPr>
                    <w:t>↑ 15–35%</w:t>
                  </w:r>
                </w:p>
              </w:tc>
              <w:tc>
                <w:tcPr>
                  <w:tcW w:type="dxa" w:w="3636"/>
                </w:tcPr>
                <w:p>
                  <w:pPr>
                    <w:spacing w:after="40"/>
                  </w:pPr>
                  <w:r>
                    <w:rPr>
                      <w:sz w:val="18"/>
                    </w:rPr>
                  </w:r>
                  <w:r>
                    <w:rPr>
                      <w:b w:val="0"/>
                      <w:i w:val="0"/>
                      <w:sz w:val="18"/>
                      <w:highlight w:val="yellow"/>
                    </w:rPr>
                    <w:t>↓ 20–50%</w:t>
                  </w:r>
                </w:p>
              </w:tc>
            </w:tr>
            <w:tr>
              <w:tc>
                <w:tcPr>
                  <w:tcW w:type="dxa" w:w="3636"/>
                </w:tcPr>
                <w:p>
                  <w:pPr>
                    <w:spacing w:after="40"/>
                  </w:pPr>
                  <w:r>
                    <w:rPr>
                      <w:sz w:val="18"/>
                    </w:rPr>
                  </w:r>
                  <w:r>
                    <w:rPr>
                      <w:b w:val="0"/>
                      <w:i w:val="0"/>
                      <w:sz w:val="18"/>
                    </w:rPr>
                    <w:t>Fibrates</w:t>
                  </w:r>
                </w:p>
              </w:tc>
              <w:tc>
                <w:tcPr>
                  <w:tcW w:type="dxa" w:w="3636"/>
                </w:tcPr>
                <w:p>
                  <w:pPr>
                    <w:spacing w:after="40"/>
                  </w:pPr>
                  <w:r>
                    <w:rPr>
                      <w:sz w:val="18"/>
                    </w:rPr>
                  </w:r>
                  <w:r>
                    <w:rPr>
                      <w:b w:val="0"/>
                      <w:i w:val="0"/>
                      <w:sz w:val="18"/>
                    </w:rPr>
                    <w:t>↓ 5–20%</w:t>
                  </w:r>
                </w:p>
              </w:tc>
              <w:tc>
                <w:tcPr>
                  <w:tcW w:type="dxa" w:w="3636"/>
                </w:tcPr>
                <w:p>
                  <w:pPr>
                    <w:spacing w:after="40"/>
                  </w:pPr>
                  <w:r>
                    <w:rPr>
                      <w:sz w:val="18"/>
                    </w:rPr>
                  </w:r>
                  <w:r>
                    <w:rPr>
                      <w:b w:val="0"/>
                      <w:i w:val="0"/>
                      <w:sz w:val="18"/>
                      <w:highlight w:val="yellow"/>
                    </w:rPr>
                    <w:t>↑ 10–35%</w:t>
                  </w:r>
                </w:p>
              </w:tc>
              <w:tc>
                <w:tcPr>
                  <w:tcW w:type="dxa" w:w="3636"/>
                </w:tcPr>
                <w:p>
                  <w:pPr>
                    <w:spacing w:after="40"/>
                  </w:pPr>
                  <w:r>
                    <w:rPr>
                      <w:sz w:val="18"/>
                    </w:rPr>
                  </w:r>
                  <w:r>
                    <w:rPr>
                      <w:b w:val="0"/>
                      <w:i w:val="0"/>
                      <w:sz w:val="18"/>
                      <w:highlight w:val="yellow"/>
                    </w:rPr>
                    <w:t>↓ 20–50%</w:t>
                  </w:r>
                </w:p>
              </w:tc>
            </w:tr>
            <w:tr>
              <w:tc>
                <w:tcPr>
                  <w:tcW w:type="dxa" w:w="3636"/>
                </w:tcPr>
                <w:p>
                  <w:pPr>
                    <w:spacing w:after="40"/>
                  </w:pPr>
                  <w:r>
                    <w:rPr>
                      <w:sz w:val="18"/>
                    </w:rPr>
                  </w:r>
                  <w:r>
                    <w:rPr>
                      <w:b w:val="0"/>
                      <w:i w:val="0"/>
                      <w:sz w:val="18"/>
                    </w:rPr>
                    <w:t>Ezetimibe</w:t>
                  </w:r>
                </w:p>
              </w:tc>
              <w:tc>
                <w:tcPr>
                  <w:tcW w:type="dxa" w:w="3636"/>
                </w:tcPr>
                <w:p>
                  <w:pPr>
                    <w:spacing w:after="40"/>
                  </w:pPr>
                  <w:r>
                    <w:rPr>
                      <w:sz w:val="18"/>
                    </w:rPr>
                  </w:r>
                  <w:r>
                    <w:rPr>
                      <w:b w:val="0"/>
                      <w:i w:val="0"/>
                      <w:sz w:val="18"/>
                    </w:rPr>
                    <w:t>↓ 18%</w:t>
                  </w:r>
                </w:p>
              </w:tc>
              <w:tc>
                <w:tcPr>
                  <w:tcW w:type="dxa" w:w="3636"/>
                </w:tcPr>
                <w:p>
                  <w:pPr>
                    <w:spacing w:after="40"/>
                  </w:pPr>
                  <w:r>
                    <w:rPr>
                      <w:sz w:val="18"/>
                    </w:rPr>
                  </w:r>
                  <w:r>
                    <w:rPr>
                      <w:b w:val="0"/>
                      <w:i w:val="0"/>
                      <w:sz w:val="18"/>
                    </w:rPr>
                    <w:t>Insignificant</w:t>
                  </w:r>
                </w:p>
              </w:tc>
              <w:tc>
                <w:tcPr>
                  <w:tcW w:type="dxa" w:w="3636"/>
                </w:tcPr>
                <w:p>
                  <w:pPr>
                    <w:spacing w:after="40"/>
                  </w:pPr>
                  <w:r>
                    <w:rPr>
                      <w:sz w:val="18"/>
                    </w:rPr>
                  </w:r>
                  <w:r>
                    <w:rPr>
                      <w:b w:val="0"/>
                      <w:i w:val="0"/>
                      <w:sz w:val="18"/>
                    </w:rPr>
                    <w:t>↓ 8%</w:t>
                  </w:r>
                </w:p>
              </w:tc>
            </w:tr>
          </w:tbl>
          <w:p/>
          <w:p>
            <w:pPr>
              <w:spacing w:after="80"/>
            </w:pPr>
          </w:p>
          <w:p>
            <w:pPr>
              <w:spacing w:after="120"/>
            </w:pPr>
            <w:r>
              <w:rPr>
                <w:b w:val="0"/>
                <w:i w:val="0"/>
              </w:rPr>
              <w:t xml:space="preserve">Three of his test-question cues aim at this table. Read it for </w:t>
            </w:r>
            <w:r>
              <w:rPr>
                <w:b/>
                <w:i w:val="0"/>
              </w:rPr>
              <w:t>direction and ranking</w:t>
            </w:r>
            <w:r>
              <w:rPr>
                <w:b w:val="0"/>
                <w:i w:val="0"/>
              </w:rPr>
              <w:t xml:space="preserve">, not the percentages: statins are the first-line LDL drug; </w:t>
            </w:r>
            <w:r>
              <w:rPr>
                <w:b/>
                <w:i w:val="0"/>
              </w:rPr>
              <w:t>niacin and the fibrates lower triglycerides and raise HDL</w:t>
            </w:r>
            <w:r>
              <w:rPr>
                <w:b w:val="0"/>
                <w:i w:val="0"/>
              </w:rPr>
              <w:t xml:space="preserve">; and the resins are </w:t>
            </w:r>
            <w:r>
              <w:rPr>
                <w:b w:val="0"/>
                <w:i/>
              </w:rPr>
              <w:t>“the only one that’s bad for triglycerides”</w:t>
            </w:r>
            <w:r>
              <w:rPr>
                <w:b w:val="0"/>
                <w:i w:val="0"/>
              </w:rPr>
              <w:t>.</w:t>
            </w:r>
          </w:p>
        </w:tc>
      </w:tr>
    </w:tbl>
    <w:p>
      <w:pPr>
        <w:spacing w:after="80"/>
      </w:pPr>
    </w:p>
    <w:p>
      <w:pPr>
        <w:spacing w:after="120"/>
      </w:pPr>
      <w:r>
        <w:rPr>
          <w:b w:val="0"/>
          <w:i w:val="0"/>
        </w:rPr>
        <w:t>Also tested</w:t>
      </w:r>
    </w:p>
    <w:p>
      <w:pPr>
        <w:pStyle w:val="ListBullet"/>
        <w:spacing w:after="40"/>
      </w:pPr>
      <w:r>
        <w:rPr>
          <w:b/>
          <w:i w:val="0"/>
          <w:sz w:val="20"/>
        </w:rPr>
        <w:t>Largest HDL rise.</w:t>
      </w:r>
      <w:r>
        <w:rPr>
          <w:b w:val="0"/>
          <w:i w:val="0"/>
          <w:sz w:val="20"/>
        </w:rPr>
        <w:t xml:space="preserve"> Nicotinic acid (niacin) raises HDL (high-density lipoprotein) cholesterol by 15 to 35%, the largest rise of any class; fibrates follow at 10 to 35%.</w:t>
      </w:r>
    </w:p>
    <w:p>
      <w:pPr>
        <w:pStyle w:val="ListBullet"/>
        <w:spacing w:after="40"/>
      </w:pPr>
      <w:r>
        <w:rPr>
          <w:b/>
          <w:i w:val="0"/>
          <w:sz w:val="20"/>
        </w:rPr>
        <w:t>Largest LDL lowering.</w:t>
      </w:r>
      <w:r>
        <w:rPr>
          <w:b w:val="0"/>
          <w:i w:val="0"/>
          <w:sz w:val="20"/>
        </w:rPr>
        <w:t xml:space="preserve"> Statins lower LDL (low-density lipoprotein) cholesterol by 18 to 55%, the most of any class; they are the most efficacious and first line.</w:t>
      </w:r>
    </w:p>
    <w:p>
      <w:pPr>
        <w:pStyle w:val="Heading2"/>
        <w:spacing w:before="200" w:after="100"/>
      </w:pPr>
      <w:r>
        <w:rPr>
          <w:rFonts w:ascii="Georgia" w:hAnsi="Georgia"/>
          <w:color w:val="6B3524"/>
        </w:rPr>
        <w:t>4.9 · Objectives 9–10 — Guidelines, monitoring and patient education</w:t>
      </w:r>
    </w:p>
    <w:p>
      <w:pPr>
        <w:spacing w:after="120"/>
      </w:pPr>
      <w:r>
        <w:rPr>
          <w:b w:val="0"/>
          <w:i w:val="0"/>
        </w:rPr>
        <w:t xml:space="preserve">The older </w:t>
      </w:r>
      <w:r>
        <w:rPr>
          <w:b/>
          <w:i w:val="0"/>
        </w:rPr>
        <w:t>Adult Treatment Panel III (ATP III)</w:t>
      </w:r>
      <w:r>
        <w:rPr>
          <w:b w:val="0"/>
          <w:i w:val="0"/>
        </w:rPr>
        <w:t xml:space="preserve"> goals were numbers: LDL under 100 mg/dL optimal, HDL over 60 high and under 40 low, total cholesterol under 200, triglycerides under 150. HDL rises with exercise. The </w:t>
      </w:r>
      <w:r>
        <w:rPr>
          <w:b/>
          <w:i w:val="0"/>
        </w:rPr>
        <w:t>American Heart Association and American College of Cardiology (AHA/ACC)</w:t>
      </w:r>
      <w:r>
        <w:rPr>
          <w:b w:val="0"/>
          <w:i w:val="0"/>
        </w:rPr>
        <w:t xml:space="preserve"> guideline aims to reduce atherosclerotic cardiovascular disease (ASCVD) risk, the leading cause of death and disability in America, and changed the approach:</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pStyle w:val="ListBullet"/>
              <w:spacing w:after="40"/>
            </w:pPr>
            <w:r>
              <w:rPr>
                <w:b w:val="0"/>
                <w:i w:val="0"/>
                <w:sz w:val="20"/>
              </w:rPr>
              <w:t xml:space="preserve">Start </w:t>
            </w:r>
            <w:r>
              <w:rPr>
                <w:b/>
                <w:i w:val="0"/>
                <w:sz w:val="20"/>
              </w:rPr>
              <w:t>moderate- or high-intensity statin</w:t>
            </w:r>
            <w:r>
              <w:rPr>
                <w:b w:val="0"/>
                <w:i w:val="0"/>
                <w:sz w:val="20"/>
              </w:rPr>
              <w:t xml:space="preserve"> therapy for patients in the four groups.</w:t>
            </w:r>
          </w:p>
          <w:p>
            <w:pPr>
              <w:pStyle w:val="ListBullet"/>
              <w:spacing w:after="40"/>
            </w:pPr>
            <w:r>
              <w:rPr>
                <w:b w:val="0"/>
                <w:i w:val="0"/>
                <w:sz w:val="20"/>
                <w:highlight w:val="yellow"/>
              </w:rPr>
              <w:t>Unlike ATP-III, do not titrate to a specific LDL cholesterol target.</w:t>
            </w:r>
          </w:p>
          <w:p>
            <w:pPr>
              <w:pStyle w:val="ListBullet"/>
              <w:spacing w:after="40"/>
            </w:pPr>
            <w:r>
              <w:rPr>
                <w:b w:val="0"/>
                <w:i w:val="0"/>
                <w:sz w:val="20"/>
                <w:highlight w:val="yellow"/>
              </w:rPr>
              <w:t>Measure lipids during follow-ups to assess adherence to treatment</w:t>
            </w:r>
            <w:r>
              <w:rPr>
                <w:b w:val="0"/>
                <w:i w:val="0"/>
                <w:sz w:val="20"/>
              </w:rPr>
              <w:t>, not to reach a target.</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The four major statin benefit groups</w:t>
            </w:r>
            <w:r>
              <w:rPr>
                <w:b w:val="0"/>
                <w:i w:val="0"/>
              </w:rPr>
              <w:t xml:space="preserve"> — </w:t>
            </w:r>
            <w:r>
              <w:rPr>
                <w:b w:val="0"/>
                <w:i/>
              </w:rPr>
              <w:t>“I would want you to be able to identify those four risk categories.”</w:t>
            </w:r>
          </w:p>
          <w:p>
            <w:pPr>
              <w:pStyle w:val="ListNumber"/>
              <w:spacing w:after="40"/>
            </w:pPr>
            <w:r>
              <w:rPr>
                <w:b w:val="0"/>
                <w:i w:val="0"/>
                <w:sz w:val="20"/>
              </w:rPr>
              <w:t>Clinical ASCVD.</w:t>
            </w:r>
          </w:p>
          <w:p>
            <w:pPr>
              <w:pStyle w:val="ListNumber"/>
              <w:spacing w:after="40"/>
            </w:pPr>
            <w:r>
              <w:rPr>
                <w:b w:val="0"/>
                <w:i w:val="0"/>
                <w:sz w:val="20"/>
              </w:rPr>
              <w:t>LDL above 190 mg/dL.</w:t>
            </w:r>
          </w:p>
          <w:p>
            <w:pPr>
              <w:pStyle w:val="ListNumber"/>
              <w:spacing w:after="40"/>
            </w:pPr>
            <w:r>
              <w:rPr>
                <w:b w:val="0"/>
                <w:i w:val="0"/>
                <w:sz w:val="20"/>
              </w:rPr>
              <w:t>Diabetes, age 40 to 75, LDL 70 to 189 mg/dL, and no clinical ASCVD.</w:t>
            </w:r>
          </w:p>
          <w:p>
            <w:pPr>
              <w:pStyle w:val="ListNumber"/>
              <w:spacing w:after="40"/>
            </w:pPr>
            <w:r>
              <w:rPr>
                <w:b w:val="0"/>
                <w:i w:val="0"/>
                <w:sz w:val="20"/>
              </w:rPr>
              <w:t>No clinical ASCVD or diabetes, LDL 70 to 189 mg/dL, and an estimated 10-year ASCVD risk above 7.5%.</w:t>
            </w:r>
          </w:p>
        </w:tc>
      </w:tr>
    </w:tbl>
    <w:p>
      <w:pPr>
        <w:spacing w:after="80"/>
      </w:pPr>
    </w:p>
    <w:p>
      <w:pPr>
        <w:spacing w:after="120"/>
      </w:pPr>
      <w:r>
        <w:rPr>
          <w:b/>
          <w:i w:val="0"/>
        </w:rPr>
        <w:t>Statin intensity</w:t>
      </w:r>
      <w:r>
        <w:rPr>
          <w:b w:val="0"/>
          <w:i w:val="0"/>
        </w:rPr>
        <w:t xml:space="preserve"> is defined by the LDL reduction it produces: </w:t>
      </w:r>
      <w:r>
        <w:rPr>
          <w:b/>
          <w:i w:val="0"/>
        </w:rPr>
        <w:t>high, 50% or more</w:t>
      </w:r>
      <w:r>
        <w:rPr>
          <w:b w:val="0"/>
          <w:i w:val="0"/>
        </w:rPr>
        <w:t xml:space="preserve">; </w:t>
      </w:r>
      <w:r>
        <w:rPr>
          <w:b/>
          <w:i w:val="0"/>
        </w:rPr>
        <w:t>moderate, 30 to 49%</w:t>
      </w:r>
      <w:r>
        <w:rPr>
          <w:b w:val="0"/>
          <w:i w:val="0"/>
        </w:rPr>
        <w:t xml:space="preserve">; </w:t>
      </w:r>
      <w:r>
        <w:rPr>
          <w:b/>
          <w:i w:val="0"/>
        </w:rPr>
        <w:t>low, under 30%</w:t>
      </w:r>
      <w:r>
        <w:rPr>
          <w:b w:val="0"/>
          <w:i w:val="0"/>
        </w:rPr>
        <w:t xml:space="preserve">. </w:t>
      </w:r>
      <w:r>
        <w:rPr>
          <w:b w:val="0"/>
          <w:i w:val="0"/>
          <w:highlight w:val="yellow"/>
        </w:rPr>
        <w:t>Only atorvastatin and rosuvastatin</w:t>
      </w:r>
      <w:r>
        <w:rPr>
          <w:b w:val="0"/>
          <w:i w:val="0"/>
        </w:rPr>
        <w:t xml:space="preserve"> reach high intensity. </w:t>
      </w:r>
      <w:r>
        <w:rPr>
          <w:b/>
          <w:i w:val="0"/>
        </w:rPr>
        <w:t>Safety:</w:t>
      </w:r>
      <w:r>
        <w:rPr>
          <w:b w:val="0"/>
          <w:i w:val="0"/>
        </w:rPr>
        <w:t xml:space="preserve"> choose the appropriate dose; keep side effects and drug interactions in mind; and </w:t>
      </w:r>
      <w:r>
        <w:rPr>
          <w:b/>
          <w:i w:val="0"/>
        </w:rPr>
        <w:t>if high- or moderate-intensity therapy is not tolerated, use the maximum tolerated dose</w:t>
      </w:r>
      <w:r>
        <w:rPr>
          <w:b w:val="0"/>
          <w:i w:val="0"/>
        </w:rPr>
        <w:t>.</w:t>
      </w:r>
    </w:p>
    <w:p>
      <w:pPr>
        <w:spacing w:after="120"/>
      </w:pPr>
      <w:r>
        <w:rPr>
          <w:b w:val="0"/>
          <w:i w:val="0"/>
        </w:rPr>
        <w:t xml:space="preserve">The algorithm on slide 66 (adults without cardiovascular disease) runs: measure LDL and counsel everyone on lifestyle; </w:t>
      </w:r>
      <w:r>
        <w:rPr>
          <w:b/>
          <w:i w:val="0"/>
        </w:rPr>
        <w:t>LDL 190 mg/dL or more</w:t>
      </w:r>
      <w:r>
        <w:rPr>
          <w:b w:val="0"/>
          <w:i w:val="0"/>
        </w:rPr>
        <w:t xml:space="preserve"> → evaluate for familial hypercholesterolemia, and if absent start a </w:t>
      </w:r>
      <w:r>
        <w:rPr>
          <w:b/>
          <w:i w:val="0"/>
        </w:rPr>
        <w:t>high-intensity statin</w:t>
      </w:r>
      <w:r>
        <w:rPr>
          <w:b w:val="0"/>
          <w:i w:val="0"/>
        </w:rPr>
        <w:t xml:space="preserve">; otherwise calculate 10-year risk and branch — start a moderate-dose statin, discuss it with the patient, or repeat screening. After starting, </w:t>
      </w:r>
      <w:r>
        <w:rPr>
          <w:b/>
          <w:i w:val="0"/>
        </w:rPr>
        <w:t>repeat LDL in 6 weeks and expect a 30 to 50% fall</w:t>
      </w:r>
      <w:r>
        <w:rPr>
          <w:b w:val="0"/>
          <w:i w:val="0"/>
        </w:rPr>
        <w:t xml:space="preserve">; if it has not fallen, </w:t>
      </w:r>
      <w:r>
        <w:rPr>
          <w:b/>
          <w:i w:val="0"/>
        </w:rPr>
        <w:t>evaluate compliance</w:t>
      </w:r>
      <w:r>
        <w:rPr>
          <w:b w:val="0"/>
          <w:i w:val="0"/>
        </w:rPr>
        <w:t>. (The algorithm’s risk cut-offs are not the same as the 7.5% on the benefit-group slide; no question should turn on the difference.)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Drug</w:t>
            </w:r>
          </w:p>
        </w:tc>
        <w:tc>
          <w:tcPr>
            <w:tcW w:type="dxa" w:w="7272"/>
            <w:shd w:val="clear" w:color="auto" w:fill="6B3524"/>
          </w:tcPr>
          <w:p>
            <w:pPr>
              <w:spacing w:after="40"/>
            </w:pPr>
            <w:r>
              <w:rPr>
                <w:b/>
                <w:color w:val="FFFFFF"/>
                <w:sz w:val="18"/>
              </w:rPr>
            </w:r>
            <w:r>
              <w:rPr>
                <w:b/>
                <w:i w:val="0"/>
                <w:color w:val="FFFFFF"/>
                <w:sz w:val="18"/>
              </w:rPr>
              <w:t>Patient education the slides support</w:t>
            </w:r>
          </w:p>
        </w:tc>
      </w:tr>
      <w:tr>
        <w:tc>
          <w:tcPr>
            <w:tcW w:type="dxa" w:w="7272"/>
          </w:tcPr>
          <w:p>
            <w:pPr>
              <w:spacing w:after="40"/>
            </w:pPr>
            <w:r>
              <w:rPr>
                <w:sz w:val="18"/>
              </w:rPr>
            </w:r>
            <w:r>
              <w:rPr>
                <w:b w:val="0"/>
                <w:i w:val="0"/>
                <w:sz w:val="18"/>
              </w:rPr>
              <w:t>Statins</w:t>
            </w:r>
          </w:p>
        </w:tc>
        <w:tc>
          <w:tcPr>
            <w:tcW w:type="dxa" w:w="7272"/>
          </w:tcPr>
          <w:p>
            <w:pPr>
              <w:spacing w:after="40"/>
            </w:pPr>
            <w:r>
              <w:rPr>
                <w:sz w:val="18"/>
              </w:rPr>
            </w:r>
            <w:r>
              <w:rPr>
                <w:b w:val="0"/>
                <w:i w:val="0"/>
                <w:sz w:val="18"/>
              </w:rPr>
              <w:t>Report muscle pain or weakness; avoid grapefruit juice; not in pregnancy; lipids are rechecked to confirm the drug is being taken</w:t>
            </w:r>
          </w:p>
        </w:tc>
      </w:tr>
      <w:tr>
        <w:tc>
          <w:tcPr>
            <w:tcW w:type="dxa" w:w="7272"/>
          </w:tcPr>
          <w:p>
            <w:pPr>
              <w:spacing w:after="40"/>
            </w:pPr>
            <w:r>
              <w:rPr>
                <w:sz w:val="18"/>
              </w:rPr>
            </w:r>
            <w:r>
              <w:rPr>
                <w:b w:val="0"/>
                <w:i w:val="0"/>
                <w:sz w:val="18"/>
              </w:rPr>
              <w:t>Ezetimibe</w:t>
            </w:r>
          </w:p>
        </w:tc>
        <w:tc>
          <w:tcPr>
            <w:tcW w:type="dxa" w:w="7272"/>
          </w:tcPr>
          <w:p>
            <w:pPr>
              <w:spacing w:after="40"/>
            </w:pPr>
            <w:r>
              <w:rPr>
                <w:sz w:val="18"/>
              </w:rPr>
            </w:r>
            <w:r>
              <w:rPr>
                <w:b w:val="0"/>
                <w:i w:val="0"/>
                <w:sz w:val="18"/>
              </w:rPr>
              <w:t>With or without meals</w:t>
            </w:r>
          </w:p>
        </w:tc>
      </w:tr>
      <w:tr>
        <w:tc>
          <w:tcPr>
            <w:tcW w:type="dxa" w:w="7272"/>
          </w:tcPr>
          <w:p>
            <w:pPr>
              <w:spacing w:after="40"/>
            </w:pPr>
            <w:r>
              <w:rPr>
                <w:sz w:val="18"/>
              </w:rPr>
            </w:r>
            <w:r>
              <w:rPr>
                <w:b/>
                <w:i w:val="0"/>
                <w:sz w:val="18"/>
              </w:rPr>
              <w:t>Bile acid sequestrants</w:t>
            </w:r>
          </w:p>
        </w:tc>
        <w:tc>
          <w:tcPr>
            <w:tcW w:type="dxa" w:w="7272"/>
          </w:tcPr>
          <w:p>
            <w:pPr>
              <w:spacing w:after="40"/>
            </w:pPr>
            <w:r>
              <w:rPr>
                <w:sz w:val="18"/>
              </w:rPr>
            </w:r>
            <w:r>
              <w:rPr>
                <w:b w:val="0"/>
                <w:i w:val="0"/>
                <w:sz w:val="18"/>
              </w:rPr>
              <w:t>Mix the powder in water or a pulpy fruit juice; take within 1 hour of a meal; take other medicines 1 hour before or 4 hours after; constipation and bloating are common</w:t>
            </w:r>
          </w:p>
        </w:tc>
      </w:tr>
      <w:tr>
        <w:tc>
          <w:tcPr>
            <w:tcW w:type="dxa" w:w="7272"/>
          </w:tcPr>
          <w:p>
            <w:pPr>
              <w:spacing w:after="40"/>
            </w:pPr>
            <w:r>
              <w:rPr>
                <w:sz w:val="18"/>
              </w:rPr>
            </w:r>
            <w:r>
              <w:rPr>
                <w:b w:val="0"/>
                <w:i w:val="0"/>
                <w:sz w:val="18"/>
              </w:rPr>
              <w:t>Niacin</w:t>
            </w:r>
          </w:p>
        </w:tc>
        <w:tc>
          <w:tcPr>
            <w:tcW w:type="dxa" w:w="7272"/>
          </w:tcPr>
          <w:p>
            <w:pPr>
              <w:spacing w:after="40"/>
            </w:pPr>
            <w:r>
              <w:rPr>
                <w:sz w:val="18"/>
              </w:rPr>
            </w:r>
            <w:r>
              <w:rPr>
                <w:b w:val="0"/>
                <w:i w:val="0"/>
                <w:sz w:val="18"/>
              </w:rPr>
              <w:t>Flushing is expected — take aspirin beforehand to reduce it; alcohol interacts</w:t>
            </w:r>
          </w:p>
        </w:tc>
      </w:tr>
      <w:tr>
        <w:tc>
          <w:tcPr>
            <w:tcW w:type="dxa" w:w="7272"/>
          </w:tcPr>
          <w:p>
            <w:pPr>
              <w:spacing w:after="40"/>
            </w:pPr>
            <w:r>
              <w:rPr>
                <w:sz w:val="18"/>
              </w:rPr>
            </w:r>
            <w:r>
              <w:rPr>
                <w:b w:val="0"/>
                <w:i w:val="0"/>
                <w:sz w:val="18"/>
              </w:rPr>
              <w:t>PCSK9 inhibitors</w:t>
            </w:r>
          </w:p>
        </w:tc>
        <w:tc>
          <w:tcPr>
            <w:tcW w:type="dxa" w:w="7272"/>
          </w:tcPr>
          <w:p>
            <w:pPr>
              <w:spacing w:after="40"/>
            </w:pPr>
            <w:r>
              <w:rPr>
                <w:sz w:val="18"/>
              </w:rPr>
            </w:r>
            <w:r>
              <w:rPr>
                <w:b w:val="0"/>
                <w:i w:val="0"/>
                <w:sz w:val="18"/>
              </w:rPr>
              <w:t>An injection; watch for hypersensitivity</w:t>
            </w:r>
          </w:p>
        </w:tc>
      </w:tr>
    </w:tbl>
    <w:p>
      <w:pPr>
        <w:spacing w:after="80"/>
      </w:pPr>
    </w:p>
    <w:p>
      <w:pPr>
        <w:spacing w:after="120"/>
      </w:pPr>
      <w:r>
        <w:rPr>
          <w:b w:val="0"/>
          <w:i w:val="0"/>
        </w:rPr>
        <w:t>Also tested</w:t>
      </w:r>
    </w:p>
    <w:p>
      <w:pPr>
        <w:pStyle w:val="ListBullet"/>
        <w:spacing w:after="40"/>
      </w:pPr>
      <w:r>
        <w:rPr>
          <w:b/>
          <w:i w:val="0"/>
          <w:sz w:val="20"/>
        </w:rPr>
        <w:t>Four statin benefit groups.</w:t>
      </w:r>
      <w:r>
        <w:rPr>
          <w:b w:val="0"/>
          <w:i w:val="0"/>
          <w:sz w:val="20"/>
        </w:rPr>
        <w:t xml:space="preserve"> Clinical atherosclerotic cardiovascular disease, such as after a myocardial infarction, is the first. The others are LDL above 190 mg/dL, diabetes at ages 40 to 75 with LDL 70 to 189, and high estimated risk.</w:t>
      </w:r>
    </w:p>
    <w:p>
      <w:pPr>
        <w:pStyle w:val="ListBullet"/>
        <w:spacing w:after="40"/>
      </w:pPr>
      <w:r>
        <w:rPr>
          <w:b/>
          <w:i w:val="0"/>
          <w:sz w:val="20"/>
        </w:rPr>
        <w:t>Statin group for diabetes.</w:t>
      </w:r>
      <w:r>
        <w:rPr>
          <w:b w:val="0"/>
          <w:i w:val="0"/>
          <w:sz w:val="20"/>
        </w:rPr>
        <w:t xml:space="preserve"> Patients with diabetes aged 40 to 75 with LDL (low-density lipoprotein) 70 to 189 mg/dL and no clinical atherosclerotic cardiovascular disease meet a statin benefit group.</w:t>
      </w:r>
    </w:p>
    <w:p>
      <w:pPr>
        <w:pStyle w:val="ListBullet"/>
        <w:spacing w:after="40"/>
      </w:pPr>
      <w:r>
        <w:rPr>
          <w:b/>
          <w:i w:val="0"/>
          <w:sz w:val="20"/>
        </w:rPr>
        <w:t>ACC/AHA versus ATP III.</w:t>
      </w:r>
      <w:r>
        <w:rPr>
          <w:b w:val="0"/>
          <w:i w:val="0"/>
          <w:sz w:val="20"/>
        </w:rPr>
        <w:t xml:space="preserve"> The ACC/AHA (American College of Cardiology/American Heart Association) guideline starts moderate- or high-intensity statin therapy for the four benefit groups and does not treat to a specific LDL (low-density lipoprotein) target, unlike ATP III (Adult Treatment Panel III).</w:t>
      </w:r>
    </w:p>
    <w:p>
      <w:pPr>
        <w:pStyle w:val="ListBullet"/>
        <w:spacing w:after="40"/>
      </w:pPr>
      <w:r>
        <w:rPr>
          <w:b/>
          <w:i w:val="0"/>
          <w:sz w:val="20"/>
        </w:rPr>
        <w:t>LDL above 190 mg/dL.</w:t>
      </w:r>
      <w:r>
        <w:rPr>
          <w:b w:val="0"/>
          <w:i w:val="0"/>
          <w:sz w:val="20"/>
        </w:rPr>
        <w:t xml:space="preserve"> Individuals with LDL (low-density lipoprotein) above 190 mg/dL form one of the four statin benefit groups on that finding alone, whatever their other risk factors.</w:t>
      </w:r>
    </w:p>
    <w:p>
      <w:pPr>
        <w:pStyle w:val="Heading1"/>
        <w:spacing w:before="280" w:after="100"/>
      </w:pPr>
      <w:r>
        <w:rPr>
          <w:rFonts w:ascii="Georgia" w:hAnsi="Georgia"/>
          <w:color w:val="6B3524"/>
        </w:rPr>
        <w:t>5 · Myocardial Ischemia Drug Therapy</w:t>
      </w:r>
    </w:p>
    <w:p>
      <w:pPr>
        <w:spacing w:after="120"/>
      </w:pPr>
      <w:r>
        <w:rPr>
          <w:b w:val="0"/>
          <w:i w:val="0"/>
        </w:rPr>
        <w:t>Adam Wood, Pharm.D., DABAT</w:t>
      </w:r>
    </w:p>
    <w:tbl>
      <w:tblPr>
        <w:tblW w:type="auto" w:w="0"/>
        <w:tblLook w:firstColumn="1" w:firstRow="1" w:lastColumn="0" w:lastRow="0" w:noHBand="0" w:noVBand="1" w:val="04A0"/>
        <w:tblBorders>
          <w:top w:val="single" w:sz="8" w:space="0" w:color="6B3524"/>
          <w:left w:val="single" w:sz="8" w:space="0" w:color="6B3524"/>
          <w:bottom w:val="single" w:sz="8" w:space="0" w:color="6B3524"/>
          <w:right w:val="single" w:sz="8" w:space="0" w:color="6B3524"/>
          <w:insideH w:val="single" w:sz="8" w:space="0" w:color="6B3524"/>
          <w:insideV w:val="single" w:sz="8" w:space="0" w:color="6B3524"/>
        </w:tblBorders>
      </w:tblPr>
      <w:tblGrid>
        <w:gridCol w:w="14544"/>
      </w:tblGrid>
      <w:tr>
        <w:tc>
          <w:tcPr>
            <w:tcW w:type="dxa" w:w="14544"/>
            <w:shd w:val="clear" w:color="auto" w:fill="EEF5F4"/>
          </w:tcPr>
          <w:p>
            <w:pPr>
              <w:spacing w:after="80"/>
            </w:pPr>
            <w:r>
              <w:rPr>
                <w:b/>
                <w:color w:val="6B3524"/>
                <w:sz w:val="18"/>
              </w:rPr>
              <w:t>INSTRUCTIONAL OBJECTIVES</w:t>
            </w:r>
          </w:p>
          <w:p>
            <w:pPr>
              <w:pStyle w:val="ListNumber"/>
              <w:spacing w:after="40"/>
            </w:pPr>
            <w:r>
              <w:rPr>
                <w:b w:val="0"/>
                <w:i w:val="0"/>
                <w:sz w:val="20"/>
              </w:rPr>
              <w:t>Identify drug classes and commonly prescribed drugs used to treat myocardial ischemia.</w:t>
            </w:r>
          </w:p>
          <w:p>
            <w:pPr>
              <w:pStyle w:val="ListNumber"/>
              <w:spacing w:after="40"/>
            </w:pPr>
            <w:r>
              <w:rPr>
                <w:b w:val="0"/>
                <w:i w:val="0"/>
                <w:sz w:val="20"/>
              </w:rPr>
              <w:t>Describe the molecular mechanism of action of drugs used to treat myocardial ischemia.</w:t>
            </w:r>
          </w:p>
          <w:p>
            <w:pPr>
              <w:pStyle w:val="ListNumber"/>
              <w:spacing w:after="40"/>
            </w:pPr>
            <w:r>
              <w:rPr>
                <w:b w:val="0"/>
                <w:i w:val="0"/>
                <w:sz w:val="20"/>
              </w:rPr>
              <w:t>Identify indications for drugs used to treat myocardial ischemia.</w:t>
            </w:r>
          </w:p>
          <w:p>
            <w:pPr>
              <w:pStyle w:val="ListNumber"/>
              <w:spacing w:after="40"/>
            </w:pPr>
            <w:r>
              <w:rPr>
                <w:b w:val="0"/>
                <w:i w:val="0"/>
                <w:sz w:val="20"/>
              </w:rPr>
              <w:t>Describe absorption, distribution, metabolism, and excretion of drugs used to treat myocardial ischemia.</w:t>
            </w:r>
          </w:p>
          <w:p>
            <w:pPr>
              <w:pStyle w:val="ListNumber"/>
              <w:spacing w:after="40"/>
            </w:pPr>
            <w:r>
              <w:rPr>
                <w:b w:val="0"/>
                <w:i w:val="0"/>
                <w:sz w:val="20"/>
              </w:rPr>
              <w:t>Summarize side effects and toxic manifestations of drugs used to treat myocardial ischemia.</w:t>
            </w:r>
          </w:p>
          <w:p>
            <w:pPr>
              <w:pStyle w:val="ListNumber"/>
              <w:spacing w:after="40"/>
            </w:pPr>
            <w:r>
              <w:rPr>
                <w:b w:val="0"/>
                <w:i w:val="0"/>
                <w:sz w:val="20"/>
              </w:rPr>
              <w:t>Describe adverse effects of drugs used to treat myocardial ischemia.</w:t>
            </w:r>
          </w:p>
          <w:p>
            <w:pPr>
              <w:pStyle w:val="ListNumber"/>
              <w:spacing w:after="40"/>
            </w:pPr>
            <w:r>
              <w:rPr>
                <w:b w:val="0"/>
                <w:i w:val="0"/>
                <w:sz w:val="20"/>
              </w:rPr>
              <w:t>Identify contraindications for drugs used to treat myocardial ischemia.</w:t>
            </w:r>
          </w:p>
          <w:p>
            <w:pPr>
              <w:pStyle w:val="ListNumber"/>
              <w:spacing w:after="40"/>
            </w:pPr>
            <w:r>
              <w:rPr>
                <w:b w:val="0"/>
                <w:i w:val="0"/>
                <w:sz w:val="20"/>
              </w:rPr>
              <w:t>Discuss potential drug-drug, drug-food, and drug-herb interactions with drugs used to treat myocardial ischemia.</w:t>
            </w:r>
          </w:p>
          <w:p>
            <w:pPr>
              <w:pStyle w:val="ListNumber"/>
              <w:spacing w:after="40"/>
            </w:pPr>
            <w:r>
              <w:rPr>
                <w:b w:val="0"/>
                <w:i w:val="0"/>
                <w:sz w:val="20"/>
              </w:rPr>
              <w:t>List commonly used protocols and patient monitoring for myocardial ischemia drug therapy.</w:t>
            </w:r>
          </w:p>
          <w:p>
            <w:pPr>
              <w:pStyle w:val="ListNumber"/>
              <w:spacing w:after="40"/>
            </w:pPr>
            <w:r>
              <w:rPr>
                <w:b w:val="0"/>
                <w:i w:val="0"/>
                <w:sz w:val="20"/>
              </w:rPr>
              <w:t>Outline appropriate patient education for drugs used to treat myocardial ischemia.</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val="0"/>
                <w:i w:val="0"/>
              </w:rPr>
              <w:t>What he said is not examined, or not in depth.</w:t>
            </w:r>
          </w:p>
          <w:p>
            <w:pPr>
              <w:pStyle w:val="ListBullet"/>
              <w:spacing w:after="40"/>
            </w:pPr>
            <w:r>
              <w:rPr>
                <w:b/>
                <w:i w:val="0"/>
                <w:sz w:val="20"/>
              </w:rPr>
              <w:t>Where the exam ends.</w:t>
            </w:r>
            <w:r>
              <w:rPr>
                <w:b w:val="0"/>
                <w:i w:val="0"/>
                <w:sz w:val="20"/>
              </w:rPr>
              <w:t xml:space="preserve"> “The end of the testable material for the exam for Monday ends with this PowerPoint, and then we’ll get started on the first PowerPoint for the third exam right after.” (at 0:24). Myocardial ischemia is the last testable lecture of Exam 2; the diuretics and heart failure deck that follows in the same recording belongs to the next exam.</w:t>
            </w:r>
          </w:p>
          <w:p>
            <w:pPr>
              <w:pStyle w:val="ListBullet"/>
              <w:spacing w:after="40"/>
            </w:pPr>
            <w:r>
              <w:rPr>
                <w:b/>
                <w:i w:val="0"/>
                <w:sz w:val="20"/>
              </w:rPr>
              <w:t>Which cell line makes which fibrinolytic</w:t>
            </w:r>
            <w:r>
              <w:rPr>
                <w:b w:val="0"/>
                <w:i w:val="0"/>
                <w:sz w:val="20"/>
              </w:rPr>
              <w:t xml:space="preserve"> — “I don’t care that you know the difference between which one’s made with E. coli versus hamster cells.” (at 1:02:02). The hamster ovary cells against </w:t>
            </w:r>
            <w:r>
              <w:rPr>
                <w:b w:val="0"/>
                <w:i/>
                <w:sz w:val="20"/>
              </w:rPr>
              <w:t>Escherichia coli</w:t>
            </w:r>
            <w:r>
              <w:rPr>
                <w:b w:val="0"/>
                <w:i w:val="0"/>
                <w:sz w:val="20"/>
              </w:rPr>
              <w:t xml:space="preserve"> detail on slide 64 steps back.</w:t>
            </w:r>
          </w:p>
          <w:p>
            <w:pPr>
              <w:pStyle w:val="ListBullet"/>
              <w:spacing w:after="40"/>
            </w:pPr>
            <w:r>
              <w:rPr>
                <w:b/>
                <w:i w:val="0"/>
                <w:sz w:val="20"/>
              </w:rPr>
              <w:t>Streptokinase the drug</w:t>
            </w:r>
            <w:r>
              <w:rPr>
                <w:b w:val="0"/>
                <w:i w:val="0"/>
                <w:sz w:val="20"/>
              </w:rPr>
              <w:t xml:space="preserve"> — “Streptokinase, kind of an older one we’ve used in the past, I don’t want you to worry so much about that, but I do want to focus on this picture here… plasminogen coming in with streptokinase to form a complex… a tissue plasminogen activator, which is what we naturally produce, could do this as well.” (at 58:27). What he does want known is the </w:t>
            </w:r>
            <w:r>
              <w:rPr>
                <w:b/>
                <w:i w:val="0"/>
                <w:sz w:val="20"/>
              </w:rPr>
              <w:t>picture</w:t>
            </w:r>
            <w:r>
              <w:rPr>
                <w:b w:val="0"/>
                <w:i w:val="0"/>
                <w:sz w:val="20"/>
              </w:rPr>
              <w:t xml:space="preserve"> on slides 59 and 60: plasminogen is converted to plasmin, by a streptokinase complex or by tissue plasminogen activator.</w:t>
            </w:r>
          </w:p>
          <w:p>
            <w:pPr>
              <w:pStyle w:val="ListBullet"/>
              <w:spacing w:after="40"/>
            </w:pPr>
            <w:r>
              <w:rPr>
                <w:b/>
                <w:i w:val="0"/>
                <w:sz w:val="20"/>
              </w:rPr>
              <w:t>Doses.</w:t>
            </w:r>
            <w:r>
              <w:rPr>
                <w:b w:val="0"/>
                <w:i w:val="0"/>
                <w:sz w:val="20"/>
              </w:rPr>
              <w:t xml:space="preserve"> This site leaves milligram amounts out (doses are not tested in this course, per the earlier lectures); he quoted the aspirin loading amount in this lecture without saying whether it is examined. The left-out box below lists what the deck gives and this guide omits.</w:t>
            </w:r>
          </w:p>
          <w:p>
            <w:pPr>
              <w:spacing w:after="120"/>
            </w:pPr>
            <w:r>
              <w:rPr>
                <w:b w:val="0"/>
                <w:i w:val="0"/>
              </w:rPr>
              <w:t>“some things are for prophylaxis and some things for acute treatment”</w:t>
            </w:r>
          </w:p>
          <w:p>
            <w:pPr>
              <w:spacing w:after="120"/>
            </w:pPr>
            <w:r>
              <w:rPr>
                <w:b w:val="0"/>
                <w:i w:val="0"/>
              </w:rPr>
              <w:t>“a cornucopia of test questions”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val="0"/>
                <w:i w:val="0"/>
              </w:rPr>
              <w:t>What is left out of this section, and why.</w:t>
            </w:r>
          </w:p>
          <w:p>
            <w:pPr>
              <w:pStyle w:val="ListBullet"/>
              <w:spacing w:after="40"/>
            </w:pPr>
            <w:r>
              <w:rPr>
                <w:b/>
                <w:i w:val="0"/>
                <w:sz w:val="20"/>
              </w:rPr>
              <w:t>Milligram doses.</w:t>
            </w:r>
            <w:r>
              <w:rPr>
                <w:b w:val="0"/>
                <w:i w:val="0"/>
                <w:sz w:val="20"/>
              </w:rPr>
              <w:t xml:space="preserve"> Doses are not tested in this course. The aspirin milligram amount on slide 52 and the nitroglycerin ointment amount per inch on slide 31 are not reproduced. Timings, durations, routes and schedules are kept, for example the 12 hours on and 12 hours off nitrate schedule.</w:t>
            </w:r>
          </w:p>
          <w:p>
            <w:pPr>
              <w:pStyle w:val="ListBullet"/>
              <w:spacing w:after="40"/>
            </w:pPr>
            <w:r>
              <w:rPr>
                <w:b/>
                <w:i w:val="0"/>
                <w:sz w:val="20"/>
              </w:rPr>
              <w:t>Trial and registry percentages.</w:t>
            </w:r>
            <w:r>
              <w:rPr>
                <w:b w:val="0"/>
                <w:i w:val="0"/>
                <w:sz w:val="20"/>
              </w:rPr>
              <w:t xml:space="preserve"> Slide 52 says beta blockers cut the risk of myocardial infarction by 13 percent in unstable angina and cut deaths by 40 percent after a myocardial infarction. Slide 37 says aspirin cuts the risk of primary events by about 30 percent. Slide 65 gives bleeding of 0.5 to 7 percent and intracranial hemorrhage of 0.4 to 0.94 percent with fibrinolytics. These are stated here for completeness; learn the direction of each finding, not the number.</w:t>
            </w:r>
          </w:p>
          <w:p>
            <w:pPr>
              <w:pStyle w:val="ListBullet"/>
              <w:spacing w:after="40"/>
            </w:pPr>
            <w:r>
              <w:rPr>
                <w:b/>
                <w:i w:val="0"/>
                <w:sz w:val="20"/>
              </w:rPr>
              <w:t>Older cut-offs.</w:t>
            </w:r>
            <w:r>
              <w:rPr>
                <w:b w:val="0"/>
                <w:i w:val="0"/>
                <w:sz w:val="20"/>
              </w:rPr>
              <w:t xml:space="preserve"> The numbers on the fibrinolytic contraindication slide (10 days, 3 months, a diastolic pressure above 110) and on the fibrinolytic indication slide (under 75 years, within 12 hours) come from an older source; learn the categories they stand for.</w:t>
            </w:r>
          </w:p>
          <w:p>
            <w:pPr>
              <w:pStyle w:val="ListBullet"/>
              <w:spacing w:after="40"/>
            </w:pPr>
            <w:r>
              <w:rPr>
                <w:b/>
                <w:i w:val="0"/>
                <w:sz w:val="20"/>
              </w:rPr>
              <w:t>Where the deck is wrong or out of date,</w:t>
            </w:r>
            <w:r>
              <w:rPr>
                <w:b w:val="0"/>
                <w:i w:val="0"/>
                <w:sz w:val="20"/>
              </w:rPr>
              <w:t xml:space="preserve"> the guide says so in a box headed “Deck versus truth” and follows the truth. Those points are not to be memorized as the slide words them.</w:t>
            </w:r>
          </w:p>
          <w:p>
            <w:pPr>
              <w:pStyle w:val="ListBullet"/>
              <w:spacing w:after="40"/>
            </w:pPr>
            <w:r>
              <w:rPr>
                <w:b/>
                <w:i w:val="0"/>
                <w:sz w:val="20"/>
              </w:rPr>
              <w:t>Three things he taught that current practice has moved past are the exception.</w:t>
            </w:r>
            <w:r>
              <w:rPr>
                <w:b w:val="0"/>
                <w:i w:val="0"/>
                <w:sz w:val="20"/>
              </w:rPr>
              <w:t xml:space="preserve"> The exam follows the course, so they are keyed as he taught them, each in a box headed “Course rule versus current practice”: the prior-infarction and diabetes cells of the comorbidity table (5.5), replacing nitroglycerin tablets every 3 to 6 months (5.4), and intravenous then oral beta blockers with an early mortality benefit in acute coronary syndrome (5.7). Learn the course rule for the exam; the box says where current labeling or guidelines differ.</w:t>
            </w:r>
          </w:p>
        </w:tc>
      </w:tr>
    </w:tbl>
    <w:p>
      <w:pPr>
        <w:spacing w:after="80"/>
      </w:pPr>
    </w:p>
    <w:p>
      <w:pPr>
        <w:pStyle w:val="Heading2"/>
        <w:spacing w:before="200" w:after="100"/>
      </w:pPr>
      <w:r>
        <w:rPr>
          <w:rFonts w:ascii="Georgia" w:hAnsi="Georgia"/>
          <w:color w:val="6B3524"/>
        </w:rPr>
        <w:t>5.1 · Objectives 1–3 — Angina, and the oxygen supply-and-demand frame</w:t>
      </w:r>
    </w:p>
    <w:p>
      <w:pPr>
        <w:spacing w:after="120"/>
      </w:pPr>
      <w:r>
        <w:rPr>
          <w:b/>
          <w:i w:val="0"/>
        </w:rPr>
        <w:t>Ischemic heart disease</w:t>
      </w:r>
      <w:r>
        <w:rPr>
          <w:b w:val="0"/>
          <w:i w:val="0"/>
        </w:rPr>
        <w:t xml:space="preserve"> is an imbalance between the oxygen supply and the oxygen demand of the heart muscle [slide 4]. Less blood flow to the tissue means a lack of oxygen supply [slide 4]. </w:t>
      </w:r>
      <w:r>
        <w:rPr>
          <w:b/>
          <w:i w:val="0"/>
        </w:rPr>
        <w:t>Coronary heart disease</w:t>
      </w:r>
      <w:r>
        <w:rPr>
          <w:b w:val="0"/>
          <w:i w:val="0"/>
        </w:rPr>
        <w:t xml:space="preserve"> is atherosclerotic narrowing of one or more coronary arteries [slide 4]. </w:t>
      </w:r>
      <w:r>
        <w:rPr>
          <w:b/>
          <w:i w:val="0"/>
        </w:rPr>
        <w:t>Angina pectoris</w:t>
      </w:r>
      <w:r>
        <w:rPr>
          <w:b w:val="0"/>
          <w:i w:val="0"/>
        </w:rPr>
        <w:t xml:space="preserve"> is the clinical manifestation of myocardial ischemia: chest pain [slide 4]. </w:t>
      </w:r>
      <w:r>
        <w:rPr>
          <w:b/>
          <w:i w:val="0"/>
        </w:rPr>
        <w:t>Chronic stable angina</w:t>
      </w:r>
      <w:r>
        <w:rPr>
          <w:b w:val="0"/>
          <w:i w:val="0"/>
        </w:rPr>
        <w:t xml:space="preserve"> is listed as the chronic counterpart of acute coronary syndrome [slide 4]. </w:t>
      </w:r>
      <w:r>
        <w:rPr>
          <w:b/>
          <w:i w:val="0"/>
        </w:rPr>
        <w:t>Acute coronary syndrome</w:t>
      </w:r>
      <w:r>
        <w:rPr>
          <w:b w:val="0"/>
          <w:i w:val="0"/>
        </w:rPr>
        <w:t xml:space="preserve"> groups unstable angina, acute myocardial infarction and sudden cardiac death [slide 4].</w:t>
      </w:r>
    </w:p>
    <w:p>
      <w:pPr>
        <w:spacing w:after="120"/>
      </w:pPr>
      <w:r>
        <w:rPr>
          <w:b w:val="0"/>
          <w:i w:val="0"/>
        </w:rPr>
        <w:t xml:space="preserve">Angina is a late, symptomatic manifestation of ischemia that may occur with any degree of stenosis [slide 7]. (Slide 7 calls it “latent”; angina is the symptomatic phase, not a hidden one.) A narrowing of </w:t>
      </w:r>
      <w:r>
        <w:rPr>
          <w:b/>
          <w:i w:val="0"/>
        </w:rPr>
        <w:t>50 percent of the left main coronary artery, or 75 percent of another major coronary artery,</w:t>
      </w:r>
      <w:r>
        <w:rPr>
          <w:b w:val="0"/>
          <w:i w:val="0"/>
        </w:rPr>
        <w:t xml:space="preserve"> is considered clinically significant [slide 7]. A stenosis above 90 percent severely limits flow (the slide says “virtually no flow”), so ischemia can occur even at low demand [slide 7].</w:t>
      </w:r>
    </w:p>
    <w:p>
      <w:pPr>
        <w:pStyle w:val="Heading3"/>
        <w:spacing w:before="200" w:after="100"/>
      </w:pPr>
      <w:r>
        <w:rPr>
          <w:rFonts w:ascii="Georgia" w:hAnsi="Georgia"/>
          <w:color w:val="6B3524"/>
        </w:rPr>
        <w:t>The two sides of the balance [slides 5 and 6]</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Side</w:t>
            </w:r>
          </w:p>
        </w:tc>
        <w:tc>
          <w:tcPr>
            <w:tcW w:type="dxa" w:w="7272"/>
            <w:shd w:val="clear" w:color="auto" w:fill="6B3524"/>
          </w:tcPr>
          <w:p>
            <w:pPr>
              <w:spacing w:after="40"/>
            </w:pPr>
            <w:r>
              <w:rPr>
                <w:b/>
                <w:color w:val="FFFFFF"/>
                <w:sz w:val="18"/>
              </w:rPr>
            </w:r>
            <w:r>
              <w:rPr>
                <w:b/>
                <w:i w:val="0"/>
                <w:color w:val="FFFFFF"/>
                <w:sz w:val="18"/>
              </w:rPr>
              <w:t>What sets it</w:t>
            </w:r>
          </w:p>
        </w:tc>
      </w:tr>
      <w:tr>
        <w:tc>
          <w:tcPr>
            <w:tcW w:type="dxa" w:w="7272"/>
          </w:tcPr>
          <w:p>
            <w:pPr>
              <w:spacing w:after="40"/>
            </w:pPr>
            <w:r>
              <w:rPr>
                <w:sz w:val="18"/>
              </w:rPr>
            </w:r>
            <w:r>
              <w:rPr>
                <w:b/>
                <w:i w:val="0"/>
                <w:sz w:val="18"/>
              </w:rPr>
              <w:t>Oxygen supply (availability)</w:t>
            </w:r>
          </w:p>
        </w:tc>
        <w:tc>
          <w:tcPr>
            <w:tcW w:type="dxa" w:w="7272"/>
          </w:tcPr>
          <w:p>
            <w:pPr>
              <w:spacing w:after="40"/>
            </w:pPr>
            <w:r>
              <w:rPr>
                <w:sz w:val="18"/>
              </w:rPr>
            </w:r>
            <w:r>
              <w:rPr>
                <w:b w:val="0"/>
                <w:i w:val="0"/>
                <w:sz w:val="18"/>
              </w:rPr>
              <w:t>Arterial partial pressure of oxygen and hemoglobin concentration; coronary flow and its distribution; oxygen extraction and the coronary microcirculation [slide 5]</w:t>
            </w:r>
          </w:p>
        </w:tc>
      </w:tr>
      <w:tr>
        <w:tc>
          <w:tcPr>
            <w:tcW w:type="dxa" w:w="7272"/>
          </w:tcPr>
          <w:p>
            <w:pPr>
              <w:spacing w:after="40"/>
            </w:pPr>
            <w:r>
              <w:rPr>
                <w:sz w:val="18"/>
              </w:rPr>
            </w:r>
            <w:r>
              <w:rPr>
                <w:b/>
                <w:i w:val="0"/>
                <w:sz w:val="18"/>
              </w:rPr>
              <w:t>Oxygen demand (requirement)</w:t>
            </w:r>
          </w:p>
        </w:tc>
        <w:tc>
          <w:tcPr>
            <w:tcW w:type="dxa" w:w="7272"/>
          </w:tcPr>
          <w:p>
            <w:pPr>
              <w:spacing w:after="40"/>
            </w:pPr>
            <w:r>
              <w:rPr>
                <w:sz w:val="18"/>
              </w:rPr>
            </w:r>
            <w:r>
              <w:rPr>
                <w:b w:val="0"/>
                <w:i w:val="0"/>
                <w:sz w:val="18"/>
              </w:rPr>
              <w:t xml:space="preserve">Heart rate; contractility; and </w:t>
            </w:r>
            <w:r>
              <w:rPr>
                <w:b/>
                <w:i w:val="0"/>
                <w:sz w:val="18"/>
              </w:rPr>
              <w:t>systolic (intramyocardial) wall tension</w:t>
            </w:r>
            <w:r>
              <w:rPr>
                <w:b w:val="0"/>
                <w:i w:val="0"/>
                <w:sz w:val="18"/>
              </w:rPr>
              <w:t xml:space="preserve"> [slides 5 and 6]</w:t>
            </w:r>
          </w:p>
        </w:tc>
      </w:tr>
    </w:tbl>
    <w:p>
      <w:pPr>
        <w:spacing w:after="80"/>
      </w:pPr>
    </w:p>
    <w:p>
      <w:pPr>
        <w:spacing w:after="120"/>
      </w:pPr>
      <w:r>
        <w:rPr>
          <w:b/>
          <w:i w:val="0"/>
        </w:rPr>
        <w:t>Wall tension</w:t>
      </w:r>
      <w:r>
        <w:rPr>
          <w:b w:val="0"/>
          <w:i w:val="0"/>
        </w:rPr>
        <w:t xml:space="preserve"> is the tension in the heart wall [slide 6]. It is affected by ventricular volume and pressure and is a function of preload and afterload [slide 6]. </w:t>
      </w:r>
      <w:r>
        <w:rPr>
          <w:b/>
          <w:i w:val="0"/>
        </w:rPr>
        <w:t>Preload</w:t>
      </w:r>
      <w:r>
        <w:rPr>
          <w:b w:val="0"/>
          <w:i w:val="0"/>
        </w:rPr>
        <w:t xml:space="preserve"> is the initial stretching of the cardiac muscle cells before contraction; it tracks ventricular and diastolic volume [slide 6]. </w:t>
      </w:r>
      <w:r>
        <w:rPr>
          <w:b/>
          <w:i w:val="0"/>
        </w:rPr>
        <w:t>Afterload</w:t>
      </w:r>
      <w:r>
        <w:rPr>
          <w:b w:val="0"/>
          <w:i w:val="0"/>
        </w:rPr>
        <w:t xml:space="preserve"> is the pressure the heart must eject blood against; it tracks systemic vascular resistance [slide 6].</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val="0"/>
                <w:i w:val="0"/>
              </w:rPr>
              <w:t>Memory aid — the heart’s oxygen budget.</w:t>
            </w:r>
          </w:p>
          <w:p>
            <w:pPr>
              <w:spacing w:after="120"/>
            </w:pPr>
            <w:r>
              <w:rPr>
                <w:b w:val="0"/>
                <w:i w:val="0"/>
              </w:rPr>
              <w:t>A story to hang the slide facts on. When a question asks for a fact, answer from the facts in this section, not from the story.</w:t>
            </w:r>
          </w:p>
          <w:p>
            <w:pPr>
              <w:pStyle w:val="ListBullet"/>
              <w:spacing w:after="40"/>
            </w:pPr>
            <w:r>
              <w:rPr>
                <w:b/>
                <w:i w:val="0"/>
                <w:sz w:val="20"/>
              </w:rPr>
              <w:t>Supply is the income</w:t>
            </w:r>
            <w:r>
              <w:rPr>
                <w:b w:val="0"/>
                <w:i w:val="0"/>
                <w:sz w:val="20"/>
              </w:rPr>
              <w:t>: the oxygen that the coronary arteries deliver. A coronary stenosis caps the income, and a stenosis above 90 percent severely limits it [slide 7].</w:t>
            </w:r>
          </w:p>
          <w:p>
            <w:pPr>
              <w:pStyle w:val="ListBullet"/>
              <w:spacing w:after="40"/>
            </w:pPr>
            <w:r>
              <w:rPr>
                <w:b/>
                <w:i w:val="0"/>
                <w:sz w:val="20"/>
              </w:rPr>
              <w:t>Demand is the spending</w:t>
            </w:r>
            <w:r>
              <w:rPr>
                <w:b w:val="0"/>
                <w:i w:val="0"/>
                <w:sz w:val="20"/>
              </w:rPr>
              <w:t>: heart rate, contractility and wall tension [slide 6]. Exercise raises the spending; angina is the overdraft warning, chest pain when spending outruns income.</w:t>
            </w:r>
          </w:p>
          <w:p>
            <w:pPr>
              <w:pStyle w:val="ListBullet"/>
              <w:spacing w:after="40"/>
            </w:pPr>
            <w:r>
              <w:rPr>
                <w:b/>
                <w:i w:val="0"/>
                <w:sz w:val="20"/>
              </w:rPr>
              <w:t>Beta blockers cut spending only</w:t>
            </w:r>
            <w:r>
              <w:rPr>
                <w:b w:val="0"/>
                <w:i w:val="0"/>
                <w:sz w:val="20"/>
              </w:rPr>
              <w:t>: they slow the rate and soften the contraction and have no effect on supply [slide 16].</w:t>
            </w:r>
          </w:p>
          <w:p>
            <w:pPr>
              <w:pStyle w:val="ListBullet"/>
              <w:spacing w:after="40"/>
            </w:pPr>
            <w:r>
              <w:rPr>
                <w:b/>
                <w:i w:val="0"/>
                <w:sz w:val="20"/>
              </w:rPr>
              <w:t>Calcium channel blockers cut spending and raise income a little</w:t>
            </w:r>
            <w:r>
              <w:rPr>
                <w:b w:val="0"/>
                <w:i w:val="0"/>
                <w:sz w:val="20"/>
              </w:rPr>
              <w:t>: mild dilation where the stenosis is fixed and relief of spasm [slide 20].</w:t>
            </w:r>
          </w:p>
          <w:p>
            <w:pPr>
              <w:pStyle w:val="ListBullet"/>
              <w:spacing w:after="40"/>
            </w:pPr>
            <w:r>
              <w:rPr>
                <w:b/>
                <w:i w:val="0"/>
                <w:sz w:val="20"/>
              </w:rPr>
              <w:t>Nitrates cut spending and raise income</w:t>
            </w:r>
            <w:r>
              <w:rPr>
                <w:b w:val="0"/>
                <w:i w:val="0"/>
                <w:sz w:val="20"/>
              </w:rPr>
              <w:t>: they lower wall tension, dilate the coronary arteries and relieve spasm [slide 25].</w:t>
            </w:r>
          </w:p>
          <w:p>
            <w:pPr>
              <w:pStyle w:val="ListBullet"/>
              <w:spacing w:after="40"/>
            </w:pPr>
            <w:r>
              <w:rPr>
                <w:b/>
                <w:i w:val="0"/>
                <w:sz w:val="20"/>
              </w:rPr>
              <w:t>Aspirin, clopidogrel and statins protect the income source</w:t>
            </w:r>
            <w:r>
              <w:rPr>
                <w:b w:val="0"/>
                <w:i w:val="0"/>
                <w:sz w:val="20"/>
              </w:rPr>
              <w:t xml:space="preserve"> from being blocked by a clot or a ruptured plaque [slides 11, 12 and 37].</w:t>
            </w:r>
          </w:p>
          <w:p>
            <w:pPr>
              <w:spacing w:after="120"/>
            </w:pPr>
            <w:r>
              <w:rPr>
                <w:b w:val="0"/>
                <w:i w:val="0"/>
              </w:rPr>
              <w:t>Where it breaks:</w:t>
            </w:r>
          </w:p>
        </w:tc>
      </w:tr>
    </w:tbl>
    <w:p>
      <w:pPr>
        <w:spacing w:after="80"/>
      </w:pPr>
    </w:p>
    <w:p>
      <w:pPr>
        <w:pStyle w:val="Heading3"/>
        <w:spacing w:before="200" w:after="100"/>
      </w:pPr>
      <w:r>
        <w:rPr>
          <w:rFonts w:ascii="Georgia" w:hAnsi="Georgia"/>
          <w:color w:val="6B3524"/>
        </w:rPr>
        <w:t>Risk factors, goals and strategy [slides 9 to 11]</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Topic</w:t>
            </w:r>
          </w:p>
        </w:tc>
        <w:tc>
          <w:tcPr>
            <w:tcW w:type="dxa" w:w="7272"/>
            <w:shd w:val="clear" w:color="auto" w:fill="6B3524"/>
          </w:tcPr>
          <w:p>
            <w:pPr>
              <w:spacing w:after="40"/>
            </w:pPr>
            <w:r>
              <w:rPr>
                <w:b/>
                <w:color w:val="FFFFFF"/>
                <w:sz w:val="18"/>
              </w:rPr>
            </w:r>
            <w:r>
              <w:rPr>
                <w:b/>
                <w:i w:val="0"/>
                <w:color w:val="FFFFFF"/>
                <w:sz w:val="18"/>
              </w:rPr>
              <w:t>What the slide lists</w:t>
            </w:r>
          </w:p>
        </w:tc>
      </w:tr>
      <w:tr>
        <w:tc>
          <w:tcPr>
            <w:tcW w:type="dxa" w:w="7272"/>
          </w:tcPr>
          <w:p>
            <w:pPr>
              <w:spacing w:after="40"/>
            </w:pPr>
            <w:r>
              <w:rPr>
                <w:sz w:val="18"/>
              </w:rPr>
            </w:r>
            <w:r>
              <w:rPr>
                <w:b w:val="0"/>
                <w:i w:val="0"/>
                <w:sz w:val="18"/>
              </w:rPr>
              <w:t>Non-modifiable risk factors</w:t>
            </w:r>
          </w:p>
        </w:tc>
        <w:tc>
          <w:tcPr>
            <w:tcW w:type="dxa" w:w="7272"/>
          </w:tcPr>
          <w:p>
            <w:pPr>
              <w:spacing w:after="40"/>
            </w:pPr>
            <w:r>
              <w:rPr>
                <w:sz w:val="18"/>
              </w:rPr>
            </w:r>
            <w:r>
              <w:rPr>
                <w:b w:val="0"/>
                <w:i w:val="0"/>
                <w:sz w:val="18"/>
              </w:rPr>
              <w:t>Family history of a premature cardiovascular event; age above 45 years in males and above 55 years in females [slide 9]</w:t>
            </w:r>
          </w:p>
        </w:tc>
      </w:tr>
      <w:tr>
        <w:tc>
          <w:tcPr>
            <w:tcW w:type="dxa" w:w="7272"/>
          </w:tcPr>
          <w:p>
            <w:pPr>
              <w:spacing w:after="40"/>
            </w:pPr>
            <w:r>
              <w:rPr>
                <w:sz w:val="18"/>
              </w:rPr>
            </w:r>
            <w:r>
              <w:rPr>
                <w:b w:val="0"/>
                <w:i w:val="0"/>
                <w:sz w:val="18"/>
              </w:rPr>
              <w:t>Modifiable risk factors</w:t>
            </w:r>
          </w:p>
        </w:tc>
        <w:tc>
          <w:tcPr>
            <w:tcW w:type="dxa" w:w="7272"/>
          </w:tcPr>
          <w:p>
            <w:pPr>
              <w:spacing w:after="40"/>
            </w:pPr>
            <w:r>
              <w:rPr>
                <w:sz w:val="18"/>
              </w:rPr>
            </w:r>
            <w:r>
              <w:rPr>
                <w:b w:val="0"/>
                <w:i w:val="0"/>
                <w:sz w:val="18"/>
              </w:rPr>
              <w:t>Sedentary lifestyle, diabetes, tobacco use, being overweight, hypertension and dyslipidemia [slide 9]</w:t>
            </w:r>
          </w:p>
        </w:tc>
      </w:tr>
      <w:tr>
        <w:tc>
          <w:tcPr>
            <w:tcW w:type="dxa" w:w="7272"/>
          </w:tcPr>
          <w:p>
            <w:pPr>
              <w:spacing w:after="40"/>
            </w:pPr>
            <w:r>
              <w:rPr>
                <w:sz w:val="18"/>
              </w:rPr>
            </w:r>
            <w:r>
              <w:rPr>
                <w:b w:val="0"/>
                <w:i w:val="0"/>
                <w:sz w:val="18"/>
              </w:rPr>
              <w:t>Treatment goals</w:t>
            </w:r>
          </w:p>
        </w:tc>
        <w:tc>
          <w:tcPr>
            <w:tcW w:type="dxa" w:w="7272"/>
          </w:tcPr>
          <w:p>
            <w:pPr>
              <w:spacing w:after="40"/>
            </w:pPr>
            <w:r>
              <w:rPr>
                <w:sz w:val="18"/>
              </w:rPr>
            </w:r>
            <w:r>
              <w:rPr>
                <w:b w:val="0"/>
                <w:i w:val="0"/>
                <w:sz w:val="18"/>
              </w:rPr>
              <w:t>Increase quantity of life by preventing acute coronary syndromes; increase quality of life by relieving and preventing symptoms [slide 10]</w:t>
            </w:r>
          </w:p>
        </w:tc>
      </w:tr>
      <w:tr>
        <w:tc>
          <w:tcPr>
            <w:tcW w:type="dxa" w:w="7272"/>
          </w:tcPr>
          <w:p>
            <w:pPr>
              <w:spacing w:after="40"/>
            </w:pPr>
            <w:r>
              <w:rPr>
                <w:sz w:val="18"/>
              </w:rPr>
            </w:r>
            <w:r>
              <w:rPr>
                <w:b w:val="0"/>
                <w:i w:val="0"/>
                <w:sz w:val="18"/>
              </w:rPr>
              <w:t>Lower oxygen demand</w:t>
            </w:r>
          </w:p>
        </w:tc>
        <w:tc>
          <w:tcPr>
            <w:tcW w:type="dxa" w:w="7272"/>
          </w:tcPr>
          <w:p>
            <w:pPr>
              <w:spacing w:after="40"/>
            </w:pPr>
            <w:r>
              <w:rPr>
                <w:sz w:val="18"/>
              </w:rPr>
            </w:r>
            <w:r>
              <w:rPr>
                <w:b w:val="0"/>
                <w:i w:val="0"/>
                <w:sz w:val="18"/>
              </w:rPr>
              <w:t>Decrease heart rate; decrease contractility; decrease intramyocardial wall tension by decreasing preload and afterload [slide 11]</w:t>
            </w:r>
          </w:p>
        </w:tc>
      </w:tr>
      <w:tr>
        <w:tc>
          <w:tcPr>
            <w:tcW w:type="dxa" w:w="7272"/>
          </w:tcPr>
          <w:p>
            <w:pPr>
              <w:spacing w:after="40"/>
            </w:pPr>
            <w:r>
              <w:rPr>
                <w:sz w:val="18"/>
              </w:rPr>
            </w:r>
            <w:r>
              <w:rPr>
                <w:b w:val="0"/>
                <w:i w:val="0"/>
                <w:sz w:val="18"/>
              </w:rPr>
              <w:t>Raise oxygen supply</w:t>
            </w:r>
          </w:p>
        </w:tc>
        <w:tc>
          <w:tcPr>
            <w:tcW w:type="dxa" w:w="7272"/>
          </w:tcPr>
          <w:p>
            <w:pPr>
              <w:spacing w:after="40"/>
            </w:pPr>
            <w:r>
              <w:rPr>
                <w:sz w:val="18"/>
              </w:rPr>
            </w:r>
            <w:r>
              <w:rPr>
                <w:b w:val="0"/>
                <w:i w:val="0"/>
                <w:sz w:val="18"/>
              </w:rPr>
              <w:t>Improve coronary blood flow [slide 11]</w:t>
            </w:r>
          </w:p>
        </w:tc>
      </w:tr>
      <w:tr>
        <w:tc>
          <w:tcPr>
            <w:tcW w:type="dxa" w:w="7272"/>
          </w:tcPr>
          <w:p>
            <w:pPr>
              <w:spacing w:after="40"/>
            </w:pPr>
            <w:r>
              <w:rPr>
                <w:sz w:val="18"/>
              </w:rPr>
            </w:r>
            <w:r>
              <w:rPr>
                <w:b w:val="0"/>
                <w:i w:val="0"/>
                <w:sz w:val="18"/>
              </w:rPr>
              <w:t>Other strategy</w:t>
            </w:r>
          </w:p>
        </w:tc>
        <w:tc>
          <w:tcPr>
            <w:tcW w:type="dxa" w:w="7272"/>
          </w:tcPr>
          <w:p>
            <w:pPr>
              <w:spacing w:after="40"/>
            </w:pPr>
            <w:r>
              <w:rPr>
                <w:sz w:val="18"/>
              </w:rPr>
            </w:r>
            <w:r>
              <w:rPr>
                <w:b w:val="0"/>
                <w:i w:val="0"/>
                <w:sz w:val="18"/>
              </w:rPr>
              <w:t>Stabilize atherosclerotic plaques to prevent acute coronary syndrome; modify reversible risk factors [slide 11]</w:t>
            </w:r>
          </w:p>
        </w:tc>
      </w:tr>
    </w:tbl>
    <w:p>
      <w:pPr>
        <w:spacing w:after="80"/>
      </w:pPr>
    </w:p>
    <w:p>
      <w:pPr>
        <w:pStyle w:val="Heading3"/>
        <w:spacing w:before="200" w:after="100"/>
      </w:pPr>
      <w:r>
        <w:rPr>
          <w:rFonts w:ascii="Georgia" w:hAnsi="Georgia"/>
          <w:color w:val="6B3524"/>
        </w:rPr>
        <w:t>The three treatment arms and the drug classes (Objective 1) [slides 12 to 14]</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Arm</w:t>
            </w:r>
          </w:p>
        </w:tc>
        <w:tc>
          <w:tcPr>
            <w:tcW w:type="dxa" w:w="7272"/>
            <w:shd w:val="clear" w:color="auto" w:fill="6B3524"/>
          </w:tcPr>
          <w:p>
            <w:pPr>
              <w:spacing w:after="40"/>
            </w:pPr>
            <w:r>
              <w:rPr>
                <w:b/>
                <w:color w:val="FFFFFF"/>
                <w:sz w:val="18"/>
              </w:rPr>
            </w:r>
            <w:r>
              <w:rPr>
                <w:b/>
                <w:i w:val="0"/>
                <w:color w:val="FFFFFF"/>
                <w:sz w:val="18"/>
              </w:rPr>
              <w:t>What it includes</w:t>
            </w:r>
          </w:p>
        </w:tc>
      </w:tr>
      <w:tr>
        <w:tc>
          <w:tcPr>
            <w:tcW w:type="dxa" w:w="7272"/>
          </w:tcPr>
          <w:p>
            <w:pPr>
              <w:spacing w:after="40"/>
            </w:pPr>
            <w:r>
              <w:rPr>
                <w:sz w:val="18"/>
              </w:rPr>
            </w:r>
            <w:r>
              <w:rPr>
                <w:b w:val="0"/>
                <w:i w:val="0"/>
                <w:sz w:val="18"/>
              </w:rPr>
              <w:t>Revascularization</w:t>
            </w:r>
          </w:p>
        </w:tc>
        <w:tc>
          <w:tcPr>
            <w:tcW w:type="dxa" w:w="7272"/>
          </w:tcPr>
          <w:p>
            <w:pPr>
              <w:spacing w:after="40"/>
            </w:pPr>
            <w:r>
              <w:rPr>
                <w:sz w:val="18"/>
              </w:rPr>
            </w:r>
            <w:r>
              <w:rPr>
                <w:b w:val="0"/>
                <w:i w:val="0"/>
                <w:sz w:val="18"/>
              </w:rPr>
              <w:t>Percutaneous coronary intervention; coronary artery bypass grafting [slide 12]</w:t>
            </w:r>
          </w:p>
        </w:tc>
      </w:tr>
      <w:tr>
        <w:tc>
          <w:tcPr>
            <w:tcW w:type="dxa" w:w="7272"/>
          </w:tcPr>
          <w:p>
            <w:pPr>
              <w:spacing w:after="40"/>
            </w:pPr>
            <w:r>
              <w:rPr>
                <w:sz w:val="18"/>
              </w:rPr>
            </w:r>
            <w:r>
              <w:rPr>
                <w:b w:val="0"/>
                <w:i w:val="0"/>
                <w:sz w:val="18"/>
              </w:rPr>
              <w:t>Drug therapy: antianginals</w:t>
            </w:r>
          </w:p>
        </w:tc>
        <w:tc>
          <w:tcPr>
            <w:tcW w:type="dxa" w:w="7272"/>
          </w:tcPr>
          <w:p>
            <w:pPr>
              <w:spacing w:after="40"/>
            </w:pPr>
            <w:r>
              <w:rPr>
                <w:sz w:val="18"/>
              </w:rPr>
            </w:r>
            <w:r>
              <w:rPr>
                <w:b/>
                <w:i w:val="0"/>
                <w:sz w:val="18"/>
              </w:rPr>
              <w:t>Beta blockers, calcium channel blockers and nitrates</w:t>
            </w:r>
            <w:r>
              <w:rPr>
                <w:b w:val="0"/>
                <w:i w:val="0"/>
                <w:sz w:val="18"/>
              </w:rPr>
              <w:t xml:space="preserve"> [slides 12 and 14]</w:t>
            </w:r>
          </w:p>
        </w:tc>
      </w:tr>
      <w:tr>
        <w:tc>
          <w:tcPr>
            <w:tcW w:type="dxa" w:w="7272"/>
          </w:tcPr>
          <w:p>
            <w:pPr>
              <w:spacing w:after="40"/>
            </w:pPr>
            <w:r>
              <w:rPr>
                <w:sz w:val="18"/>
              </w:rPr>
            </w:r>
            <w:r>
              <w:rPr>
                <w:b w:val="0"/>
                <w:i w:val="0"/>
                <w:sz w:val="18"/>
              </w:rPr>
              <w:t>Drug therapy: vasculoprotective</w:t>
            </w:r>
          </w:p>
        </w:tc>
        <w:tc>
          <w:tcPr>
            <w:tcW w:type="dxa" w:w="7272"/>
          </w:tcPr>
          <w:p>
            <w:pPr>
              <w:spacing w:after="40"/>
            </w:pPr>
            <w:r>
              <w:rPr>
                <w:sz w:val="18"/>
              </w:rPr>
            </w:r>
            <w:r>
              <w:rPr>
                <w:b w:val="0"/>
                <w:i w:val="0"/>
                <w:sz w:val="18"/>
              </w:rPr>
              <w:t>Antiplatelet drugs, statins and angiotensin-converting enzyme inhibitors [slide 12]. Aspirin is used in ischemic heart disease to prevent acute coronary syndromes [slide 37]</w:t>
            </w:r>
          </w:p>
        </w:tc>
      </w:tr>
      <w:tr>
        <w:tc>
          <w:tcPr>
            <w:tcW w:type="dxa" w:w="7272"/>
          </w:tcPr>
          <w:p>
            <w:pPr>
              <w:spacing w:after="40"/>
            </w:pPr>
            <w:r>
              <w:rPr>
                <w:sz w:val="18"/>
              </w:rPr>
            </w:r>
            <w:r>
              <w:rPr>
                <w:b w:val="0"/>
                <w:i w:val="0"/>
                <w:sz w:val="18"/>
              </w:rPr>
              <w:t>Lifestyle</w:t>
            </w:r>
          </w:p>
        </w:tc>
        <w:tc>
          <w:tcPr>
            <w:tcW w:type="dxa" w:w="7272"/>
          </w:tcPr>
          <w:p>
            <w:pPr>
              <w:spacing w:after="40"/>
            </w:pPr>
            <w:r>
              <w:rPr>
                <w:sz w:val="18"/>
              </w:rPr>
            </w:r>
            <w:r>
              <w:rPr>
                <w:b w:val="0"/>
                <w:i w:val="0"/>
                <w:sz w:val="18"/>
              </w:rPr>
              <w:t>Change the modifiable risk factors [slide 12]</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9:15 of the recording: </w:t>
            </w:r>
            <w:r>
              <w:rPr>
                <w:b w:val="0"/>
                <w:i/>
              </w:rPr>
              <w:t>“I will reiterate and reiterate and reiterate that some things are for prophylaxis and some things for acute treatment… I may say a test question, which one of these is best suited for quick relief of symptoms, which would be one class of medications, and then if I were to say which one of these are good for prevention of symptoms, that’s a totally different set of class events.”</w:t>
            </w:r>
          </w:p>
          <w:p>
            <w:pPr>
              <w:spacing w:after="120"/>
            </w:pPr>
            <w:r>
              <w:rPr>
                <w:b/>
                <w:i w:val="0"/>
              </w:rPr>
              <w:t>Prevention:</w:t>
            </w:r>
            <w:r>
              <w:rPr>
                <w:b w:val="0"/>
                <w:i w:val="0"/>
              </w:rPr>
              <w:t xml:space="preserve"> beta blockers, calcium channel blockers and long-acting nitrates. </w:t>
            </w:r>
            <w:r>
              <w:rPr>
                <w:b/>
                <w:i w:val="0"/>
              </w:rPr>
              <w:t>Quick relief of an attack:</w:t>
            </w:r>
            <w:r>
              <w:rPr>
                <w:b w:val="0"/>
                <w:i w:val="0"/>
              </w:rPr>
              <w:t xml:space="preserve"> short-acting (sublingual) nitroglycerin. Expect a stem that asks for one and offers the other [slides 12, 14, 27 and 29].</w:t>
            </w:r>
          </w:p>
        </w:tc>
      </w:tr>
    </w:tbl>
    <w:p>
      <w:pPr>
        <w:spacing w:after="80"/>
      </w:pPr>
    </w:p>
    <w:p>
      <w:pPr>
        <w:spacing w:after="120"/>
      </w:pPr>
      <w:r>
        <w:rPr>
          <w:b/>
          <w:i w:val="0"/>
        </w:rPr>
        <w:t>Prevention of anginal attacks:</w:t>
      </w:r>
      <w:r>
        <w:rPr>
          <w:b w:val="0"/>
          <w:i w:val="0"/>
        </w:rPr>
        <w:t xml:space="preserve"> metoprolol and other beta blockers, calcium channel blockers and long-acting nitrates are taken to prevent attacks; they are not rescue drugs. </w:t>
      </w:r>
      <w:r>
        <w:rPr>
          <w:b/>
          <w:i w:val="0"/>
        </w:rPr>
        <w:t>Rescue for an attack:</w:t>
      </w:r>
      <w:r>
        <w:rPr>
          <w:b w:val="0"/>
          <w:i w:val="0"/>
        </w:rPr>
        <w:t xml:space="preserve"> sublingual nitroglycerin [slides 12, 14, 27 and 29].</w:t>
      </w:r>
    </w:p>
    <w:p>
      <w:pPr>
        <w:spacing w:after="120"/>
      </w:pPr>
      <w:r>
        <w:rPr>
          <w:b w:val="0"/>
          <w:i w:val="0"/>
        </w:rPr>
        <w:t xml:space="preserve">The </w:t>
      </w:r>
      <w:r>
        <w:rPr>
          <w:b/>
          <w:i w:val="0"/>
        </w:rPr>
        <w:t>antianginal</w:t>
      </w:r>
      <w:r>
        <w:rPr>
          <w:b w:val="0"/>
          <w:i w:val="0"/>
        </w:rPr>
        <w:t xml:space="preserve"> drugs improve exercise capacity, reduce exercise-induced ST-segment changes and decrease the frequency of symptoms [slide 14]. Of the three antianginal classes, </w:t>
      </w:r>
      <w:r>
        <w:rPr>
          <w:b/>
          <w:i w:val="0"/>
        </w:rPr>
        <w:t>nitrates lower oxygen demand mainly by reducing left ventricular volume</w:t>
      </w:r>
      <w:r>
        <w:rPr>
          <w:b w:val="0"/>
          <w:i w:val="0"/>
        </w:rPr>
        <w:t xml:space="preserve">, which lowers wall tension [slides 6 and 25]. The calcium channel blockers come in two subclasses, </w:t>
      </w:r>
      <w:r>
        <w:rPr>
          <w:b/>
          <w:i w:val="0"/>
        </w:rPr>
        <w:t>dihydropyridine</w:t>
      </w:r>
      <w:r>
        <w:rPr>
          <w:b w:val="0"/>
          <w:i w:val="0"/>
        </w:rPr>
        <w:t xml:space="preserve"> and </w:t>
      </w:r>
      <w:r>
        <w:rPr>
          <w:b/>
          <w:i w:val="0"/>
        </w:rPr>
        <w:t>non-dihydropyridine</w:t>
      </w:r>
      <w:r>
        <w:rPr>
          <w:b w:val="0"/>
          <w:i w:val="0"/>
        </w:rPr>
        <w:t xml:space="preserve"> [slide 14]. The slide-13 overview groups the drugs by effect: </w:t>
      </w:r>
      <w:r>
        <w:rPr>
          <w:b/>
          <w:i w:val="0"/>
        </w:rPr>
        <w:t>calcium channel blockers, nitrates and beta blockers</w:t>
      </w:r>
      <w:r>
        <w:rPr>
          <w:b w:val="0"/>
          <w:i w:val="0"/>
        </w:rPr>
        <w:t xml:space="preserve"> decrease heart rate, contractility and systolic wall tension; calcium channel blockers, nitrates, aspirin and clopidogrel are listed under increasing coronary blood flow [slide 13].</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Deck versus truth — antiplatelet drugs and blood flow.</w:t>
            </w:r>
            <w:r>
              <w:rPr>
                <w:b w:val="0"/>
                <w:i w:val="0"/>
              </w:rPr>
              <w:t xml:space="preserve"> Slide 13 lists aspirin and clopidogrel as drugs that increase coronary blood flow. They do not dilate the coronary arteries; they prevent a platelet clot from blocking the flow, so they protect supply rather than raise it. Learn them as vasculoprotective, as slide 12 has them. Slide 13 also lumps nitrates and calcium channel blockers with the drugs that lower heart rate. The hemodynamic table (slides 16, 20 and 25) is the accurate one: nitrates and the dihydropyridines raise the heart rate, and the fall in heart rate belongs to beta blockers and non-dihydropyridines.</w:t>
            </w:r>
          </w:p>
        </w:tc>
      </w:tr>
    </w:tbl>
    <w:p>
      <w:pPr>
        <w:spacing w:after="80"/>
      </w:pPr>
    </w:p>
    <w:p>
      <w:pPr>
        <w:pStyle w:val="Heading3"/>
        <w:spacing w:before="200" w:after="100"/>
      </w:pPr>
      <w:r>
        <w:rPr>
          <w:rFonts w:ascii="Georgia" w:hAnsi="Georgia"/>
          <w:color w:val="6B3524"/>
        </w:rPr>
        <w:t>Grades of angina [slide 15]</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6B3524"/>
          </w:tcPr>
          <w:p>
            <w:pPr>
              <w:spacing w:after="40"/>
            </w:pPr>
            <w:r>
              <w:rPr>
                <w:b/>
                <w:color w:val="FFFFFF"/>
                <w:sz w:val="18"/>
              </w:rPr>
            </w:r>
            <w:r>
              <w:rPr>
                <w:b/>
                <w:i w:val="0"/>
                <w:color w:val="FFFFFF"/>
                <w:sz w:val="18"/>
              </w:rPr>
              <w:t>Class</w:t>
            </w:r>
          </w:p>
        </w:tc>
        <w:tc>
          <w:tcPr>
            <w:tcW w:type="dxa" w:w="3636"/>
            <w:shd w:val="clear" w:color="auto" w:fill="6B3524"/>
          </w:tcPr>
          <w:p>
            <w:pPr>
              <w:spacing w:after="40"/>
            </w:pPr>
            <w:r>
              <w:rPr>
                <w:b/>
                <w:color w:val="FFFFFF"/>
                <w:sz w:val="18"/>
              </w:rPr>
            </w:r>
            <w:r>
              <w:rPr>
                <w:b/>
                <w:i w:val="0"/>
                <w:color w:val="FFFFFF"/>
                <w:sz w:val="18"/>
              </w:rPr>
              <w:t>Limitation of physical activity</w:t>
            </w:r>
          </w:p>
        </w:tc>
        <w:tc>
          <w:tcPr>
            <w:tcW w:type="dxa" w:w="3636"/>
            <w:shd w:val="clear" w:color="auto" w:fill="6B3524"/>
          </w:tcPr>
          <w:p>
            <w:pPr>
              <w:spacing w:after="40"/>
            </w:pPr>
            <w:r>
              <w:rPr>
                <w:b/>
                <w:color w:val="FFFFFF"/>
                <w:sz w:val="18"/>
              </w:rPr>
            </w:r>
            <w:r>
              <w:rPr>
                <w:b/>
                <w:i w:val="0"/>
                <w:color w:val="FFFFFF"/>
                <w:sz w:val="18"/>
              </w:rPr>
              <w:t>When symptoms occur</w:t>
            </w:r>
          </w:p>
        </w:tc>
        <w:tc>
          <w:tcPr>
            <w:tcW w:type="dxa" w:w="3636"/>
            <w:shd w:val="clear" w:color="auto" w:fill="6B3524"/>
          </w:tcPr>
          <w:p>
            <w:pPr>
              <w:spacing w:after="40"/>
            </w:pPr>
            <w:r>
              <w:rPr>
                <w:b/>
                <w:color w:val="FFFFFF"/>
                <w:sz w:val="18"/>
              </w:rPr>
            </w:r>
            <w:r>
              <w:rPr>
                <w:b/>
                <w:i w:val="0"/>
                <w:color w:val="FFFFFF"/>
                <w:sz w:val="18"/>
              </w:rPr>
              <w:t>At rest</w:t>
            </w:r>
          </w:p>
        </w:tc>
      </w:tr>
      <w:tr>
        <w:tc>
          <w:tcPr>
            <w:tcW w:type="dxa" w:w="3636"/>
          </w:tcPr>
          <w:p>
            <w:pPr>
              <w:spacing w:after="40"/>
            </w:pPr>
            <w:r>
              <w:rPr>
                <w:sz w:val="18"/>
              </w:rPr>
            </w:r>
            <w:r>
              <w:rPr>
                <w:b/>
                <w:i w:val="0"/>
                <w:sz w:val="18"/>
              </w:rPr>
              <w:t>I</w:t>
            </w:r>
          </w:p>
        </w:tc>
        <w:tc>
          <w:tcPr>
            <w:tcW w:type="dxa" w:w="3636"/>
          </w:tcPr>
          <w:p>
            <w:pPr>
              <w:spacing w:after="40"/>
            </w:pPr>
            <w:r>
              <w:rPr>
                <w:sz w:val="18"/>
              </w:rPr>
            </w:r>
            <w:r>
              <w:rPr>
                <w:b w:val="0"/>
                <w:i w:val="0"/>
                <w:sz w:val="18"/>
              </w:rPr>
              <w:t>None</w:t>
            </w:r>
          </w:p>
        </w:tc>
        <w:tc>
          <w:tcPr>
            <w:tcW w:type="dxa" w:w="3636"/>
          </w:tcPr>
          <w:p>
            <w:pPr>
              <w:spacing w:after="40"/>
            </w:pPr>
            <w:r>
              <w:rPr>
                <w:sz w:val="18"/>
              </w:rPr>
            </w:r>
            <w:r>
              <w:rPr>
                <w:b w:val="0"/>
                <w:i w:val="0"/>
                <w:sz w:val="18"/>
              </w:rPr>
              <w:t>None with physical activity</w:t>
            </w:r>
          </w:p>
        </w:tc>
        <w:tc>
          <w:tcPr>
            <w:tcW w:type="dxa" w:w="3636"/>
          </w:tcPr>
          <w:p>
            <w:pPr>
              <w:spacing w:after="40"/>
            </w:pPr>
            <w:r>
              <w:rPr>
                <w:sz w:val="18"/>
              </w:rPr>
            </w:r>
            <w:r>
              <w:rPr>
                <w:b w:val="0"/>
                <w:i w:val="0"/>
                <w:sz w:val="18"/>
              </w:rPr>
              <w:t>Comfortable</w:t>
            </w:r>
          </w:p>
        </w:tc>
      </w:tr>
      <w:tr>
        <w:tc>
          <w:tcPr>
            <w:tcW w:type="dxa" w:w="3636"/>
          </w:tcPr>
          <w:p>
            <w:pPr>
              <w:spacing w:after="40"/>
            </w:pPr>
            <w:r>
              <w:rPr>
                <w:sz w:val="18"/>
              </w:rPr>
            </w:r>
            <w:r>
              <w:rPr>
                <w:b/>
                <w:i w:val="0"/>
                <w:sz w:val="18"/>
              </w:rPr>
              <w:t>II</w:t>
            </w:r>
          </w:p>
        </w:tc>
        <w:tc>
          <w:tcPr>
            <w:tcW w:type="dxa" w:w="3636"/>
          </w:tcPr>
          <w:p>
            <w:pPr>
              <w:spacing w:after="40"/>
            </w:pPr>
            <w:r>
              <w:rPr>
                <w:sz w:val="18"/>
              </w:rPr>
            </w:r>
            <w:r>
              <w:rPr>
                <w:b w:val="0"/>
                <w:i w:val="0"/>
                <w:sz w:val="18"/>
              </w:rPr>
              <w:t>Slight</w:t>
            </w:r>
          </w:p>
        </w:tc>
        <w:tc>
          <w:tcPr>
            <w:tcW w:type="dxa" w:w="3636"/>
          </w:tcPr>
          <w:p>
            <w:pPr>
              <w:spacing w:after="40"/>
            </w:pPr>
            <w:r>
              <w:rPr>
                <w:sz w:val="18"/>
              </w:rPr>
            </w:r>
            <w:r>
              <w:rPr>
                <w:b w:val="0"/>
                <w:i w:val="0"/>
                <w:sz w:val="18"/>
              </w:rPr>
              <w:t>With greater than ordinary activities</w:t>
            </w:r>
          </w:p>
        </w:tc>
        <w:tc>
          <w:tcPr>
            <w:tcW w:type="dxa" w:w="3636"/>
          </w:tcPr>
          <w:p>
            <w:pPr>
              <w:spacing w:after="40"/>
            </w:pPr>
            <w:r>
              <w:rPr>
                <w:sz w:val="18"/>
              </w:rPr>
            </w:r>
            <w:r>
              <w:rPr>
                <w:b w:val="0"/>
                <w:i w:val="0"/>
                <w:sz w:val="18"/>
              </w:rPr>
              <w:t>Comfortable</w:t>
            </w:r>
          </w:p>
        </w:tc>
      </w:tr>
      <w:tr>
        <w:tc>
          <w:tcPr>
            <w:tcW w:type="dxa" w:w="3636"/>
          </w:tcPr>
          <w:p>
            <w:pPr>
              <w:spacing w:after="40"/>
            </w:pPr>
            <w:r>
              <w:rPr>
                <w:sz w:val="18"/>
              </w:rPr>
            </w:r>
            <w:r>
              <w:rPr>
                <w:b/>
                <w:i w:val="0"/>
                <w:sz w:val="18"/>
              </w:rPr>
              <w:t>III</w:t>
            </w:r>
          </w:p>
        </w:tc>
        <w:tc>
          <w:tcPr>
            <w:tcW w:type="dxa" w:w="3636"/>
          </w:tcPr>
          <w:p>
            <w:pPr>
              <w:spacing w:after="40"/>
            </w:pPr>
            <w:r>
              <w:rPr>
                <w:sz w:val="18"/>
              </w:rPr>
            </w:r>
            <w:r>
              <w:rPr>
                <w:b w:val="0"/>
                <w:i w:val="0"/>
                <w:sz w:val="18"/>
              </w:rPr>
              <w:t>Marked</w:t>
            </w:r>
          </w:p>
        </w:tc>
        <w:tc>
          <w:tcPr>
            <w:tcW w:type="dxa" w:w="3636"/>
          </w:tcPr>
          <w:p>
            <w:pPr>
              <w:spacing w:after="40"/>
            </w:pPr>
            <w:r>
              <w:rPr>
                <w:sz w:val="18"/>
              </w:rPr>
            </w:r>
            <w:r>
              <w:rPr>
                <w:b w:val="0"/>
                <w:i w:val="0"/>
                <w:sz w:val="18"/>
              </w:rPr>
              <w:t>With ordinary activities</w:t>
            </w:r>
          </w:p>
        </w:tc>
        <w:tc>
          <w:tcPr>
            <w:tcW w:type="dxa" w:w="3636"/>
          </w:tcPr>
          <w:p>
            <w:pPr>
              <w:spacing w:after="40"/>
            </w:pPr>
            <w:r>
              <w:rPr>
                <w:sz w:val="18"/>
              </w:rPr>
            </w:r>
            <w:r>
              <w:rPr>
                <w:b w:val="0"/>
                <w:i w:val="0"/>
                <w:sz w:val="18"/>
              </w:rPr>
              <w:t>Comfortable</w:t>
            </w:r>
          </w:p>
        </w:tc>
      </w:tr>
      <w:tr>
        <w:tc>
          <w:tcPr>
            <w:tcW w:type="dxa" w:w="3636"/>
          </w:tcPr>
          <w:p>
            <w:pPr>
              <w:spacing w:after="40"/>
            </w:pPr>
            <w:r>
              <w:rPr>
                <w:sz w:val="18"/>
              </w:rPr>
            </w:r>
            <w:r>
              <w:rPr>
                <w:b/>
                <w:i w:val="0"/>
                <w:sz w:val="18"/>
              </w:rPr>
              <w:t>IV</w:t>
            </w:r>
          </w:p>
        </w:tc>
        <w:tc>
          <w:tcPr>
            <w:tcW w:type="dxa" w:w="3636"/>
          </w:tcPr>
          <w:p>
            <w:pPr>
              <w:spacing w:after="40"/>
            </w:pPr>
            <w:r>
              <w:rPr>
                <w:sz w:val="18"/>
              </w:rPr>
            </w:r>
            <w:r>
              <w:rPr>
                <w:b w:val="0"/>
                <w:i w:val="0"/>
                <w:sz w:val="18"/>
              </w:rPr>
              <w:t>Any activity increases symptoms</w:t>
            </w:r>
          </w:p>
        </w:tc>
        <w:tc>
          <w:tcPr>
            <w:tcW w:type="dxa" w:w="3636"/>
          </w:tcPr>
          <w:p>
            <w:pPr>
              <w:spacing w:after="40"/>
            </w:pPr>
            <w:r>
              <w:rPr>
                <w:sz w:val="18"/>
              </w:rPr>
            </w:r>
            <w:r>
              <w:rPr>
                <w:b w:val="0"/>
                <w:i w:val="0"/>
                <w:sz w:val="18"/>
              </w:rPr>
              <w:t>At less than ordinary levels of activity</w:t>
            </w:r>
          </w:p>
        </w:tc>
        <w:tc>
          <w:tcPr>
            <w:tcW w:type="dxa" w:w="3636"/>
          </w:tcPr>
          <w:p>
            <w:pPr>
              <w:spacing w:after="40"/>
            </w:pPr>
            <w:r>
              <w:rPr>
                <w:sz w:val="18"/>
              </w:rPr>
            </w:r>
            <w:r>
              <w:rPr>
                <w:b w:val="0"/>
                <w:i w:val="0"/>
                <w:sz w:val="18"/>
              </w:rPr>
              <w:t>May or may not be symptomatic at rest</w:t>
            </w:r>
          </w:p>
        </w:tc>
      </w:tr>
    </w:tbl>
    <w:p>
      <w:pPr>
        <w:spacing w:after="80"/>
      </w:pPr>
    </w:p>
    <w:p>
      <w:pPr>
        <w:spacing w:after="120"/>
      </w:pPr>
      <w:r>
        <w:rPr>
          <w:b w:val="0"/>
          <w:i w:val="0"/>
        </w:rPr>
        <w:t>The higher the class, the less activity it takes to bring on symptoms. Only class IV may cause symptoms at rest [slide 15]. (The usual grading describes class I as angina only with strenuous exertion; the slide’s “none” means none with ordinary activity.)</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14:48 of the recording: </w:t>
            </w:r>
            <w:r>
              <w:rPr>
                <w:b w:val="0"/>
                <w:i/>
              </w:rPr>
              <w:t>“How you grade angina is basically off of the degree of physical activity limitation… can you do more stuff before you start to have chest pain, that’s how we’re really going to determine how well our therapy is working.”</w:t>
            </w:r>
          </w:p>
          <w:p>
            <w:pPr>
              <w:spacing w:after="120"/>
            </w:pPr>
            <w:r>
              <w:rPr>
                <w:b w:val="0"/>
                <w:i w:val="0"/>
              </w:rPr>
              <w:t xml:space="preserve">Angina is graded by </w:t>
            </w:r>
            <w:r>
              <w:rPr>
                <w:b w:val="0"/>
                <w:i w:val="0"/>
                <w:highlight w:val="yellow"/>
              </w:rPr>
              <w:t>how much activity the patient can do</w:t>
            </w:r>
            <w:r>
              <w:rPr>
                <w:b w:val="0"/>
                <w:i w:val="0"/>
              </w:rPr>
              <w:t xml:space="preserve"> before symptoms [slide 15], and the same measure, exercise capacity, shows whether an antianginal is working [slide 14].</w:t>
            </w:r>
          </w:p>
        </w:tc>
      </w:tr>
    </w:tbl>
    <w:p>
      <w:pPr>
        <w:spacing w:after="80"/>
      </w:pPr>
    </w:p>
    <w:p>
      <w:pPr>
        <w:spacing w:after="120"/>
      </w:pPr>
      <w:r>
        <w:rPr>
          <w:b/>
          <w:i w:val="0"/>
        </w:rPr>
        <w:t>Chronic stable angina</w:t>
      </w:r>
      <w:r>
        <w:rPr>
          <w:b w:val="0"/>
          <w:i w:val="0"/>
        </w:rPr>
        <w:t xml:space="preserve"> is the chronic form of angina, and it is graded I to IV by how much activity brings on the symptoms; in classes I to III the patient is comfortable at rest [slides 4 and 15]. Read together with slide 41, unstable angina belongs to acute coronary syndrome, and a biochemical marker is what separates unstable angina from myocardial infarction, so a long-standing, unchanged exertional pattern with normal biomarkers is chronic stable angina rather than acute coronary syndrome.</w:t>
      </w:r>
    </w:p>
    <w:p>
      <w:pPr>
        <w:spacing w:after="120"/>
      </w:pPr>
      <w:r>
        <w:rPr>
          <w:b/>
          <w:i w:val="0"/>
        </w:rPr>
        <w:t>Variant angina, stated once here and treated in 5.5.</w:t>
      </w:r>
      <w:r>
        <w:rPr>
          <w:b w:val="0"/>
          <w:i w:val="0"/>
        </w:rPr>
        <w:t xml:space="preserve"> Vasospastic or variant (Prinzmetal) angina can occur at the site of a partly occluded lesion and causes a transient, abrupt reduction in vessel diameter [slide 8]. It may be due to autonomic control [slide 8]. It occurs in </w:t>
      </w:r>
      <w:r>
        <w:rPr>
          <w:b/>
          <w:i w:val="0"/>
        </w:rPr>
        <w:t>younger patients and those with fewer risk factors</w:t>
      </w:r>
      <w:r>
        <w:rPr>
          <w:b w:val="0"/>
          <w:i w:val="0"/>
        </w:rPr>
        <w:t xml:space="preserve"> [slide 8]. The electrocardiogram may or may not show ST-segment elevation [slide 8]. It often occurs </w:t>
      </w:r>
      <w:r>
        <w:rPr>
          <w:b/>
          <w:i w:val="0"/>
        </w:rPr>
        <w:t>during the night or early morning hours</w:t>
      </w:r>
      <w:r>
        <w:rPr>
          <w:b w:val="0"/>
          <w:i w:val="0"/>
        </w:rPr>
        <w:t xml:space="preserve"> [slide 8].</w:t>
      </w:r>
    </w:p>
    <w:p>
      <w:pPr>
        <w:pStyle w:val="Heading2"/>
        <w:spacing w:before="200" w:after="100"/>
      </w:pPr>
      <w:r>
        <w:rPr>
          <w:rFonts w:ascii="Georgia" w:hAnsi="Georgia"/>
          <w:color w:val="6B3524"/>
        </w:rPr>
        <w:t>5.2 · Objectives 1–7 — Beta blockers</w:t>
      </w:r>
    </w:p>
    <w:p>
      <w:pPr>
        <w:spacing w:after="120"/>
      </w:pPr>
      <w:r>
        <w:rPr>
          <w:b/>
          <w:i w:val="0"/>
        </w:rPr>
        <w:t>Beta blockers are first line therapy for angina in the absence of contraindications</w:t>
      </w:r>
      <w:r>
        <w:rPr>
          <w:b w:val="0"/>
          <w:i w:val="0"/>
        </w:rPr>
        <w:t xml:space="preserve"> [slide 17]. They are useful in patients with limited exercise capacity due to angina, and in patients who also have hypertension, anxiety, supraventricular arrhythmias, heart failure (stable, compensated; see below), or a prior myocardial infarction [slide 17].</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Group</w:t>
            </w:r>
          </w:p>
        </w:tc>
        <w:tc>
          <w:tcPr>
            <w:tcW w:type="dxa" w:w="7272"/>
            <w:shd w:val="clear" w:color="auto" w:fill="6B3524"/>
          </w:tcPr>
          <w:p>
            <w:pPr>
              <w:spacing w:after="40"/>
            </w:pPr>
            <w:r>
              <w:rPr>
                <w:b/>
                <w:color w:val="FFFFFF"/>
                <w:sz w:val="18"/>
              </w:rPr>
            </w:r>
            <w:r>
              <w:rPr>
                <w:b/>
                <w:i w:val="0"/>
                <w:color w:val="FFFFFF"/>
                <w:sz w:val="18"/>
              </w:rPr>
              <w:t>Agents the slide names</w:t>
            </w:r>
          </w:p>
        </w:tc>
      </w:tr>
      <w:tr>
        <w:tc>
          <w:tcPr>
            <w:tcW w:type="dxa" w:w="7272"/>
          </w:tcPr>
          <w:p>
            <w:pPr>
              <w:spacing w:after="40"/>
            </w:pPr>
            <w:r>
              <w:rPr>
                <w:sz w:val="18"/>
              </w:rPr>
            </w:r>
            <w:r>
              <w:rPr>
                <w:b w:val="0"/>
                <w:i w:val="0"/>
                <w:sz w:val="18"/>
              </w:rPr>
              <w:t>Beta-1 selective</w:t>
            </w:r>
          </w:p>
        </w:tc>
        <w:tc>
          <w:tcPr>
            <w:tcW w:type="dxa" w:w="7272"/>
          </w:tcPr>
          <w:p>
            <w:pPr>
              <w:spacing w:after="40"/>
            </w:pPr>
            <w:r>
              <w:rPr>
                <w:sz w:val="18"/>
              </w:rPr>
            </w:r>
            <w:r>
              <w:rPr>
                <w:b/>
                <w:i w:val="0"/>
                <w:sz w:val="18"/>
              </w:rPr>
              <w:t>Metoprolol, atenolol</w:t>
            </w:r>
            <w:r>
              <w:rPr>
                <w:b w:val="0"/>
                <w:i w:val="0"/>
                <w:sz w:val="18"/>
              </w:rPr>
              <w:t xml:space="preserve"> [slide 17]</w:t>
            </w:r>
          </w:p>
        </w:tc>
      </w:tr>
      <w:tr>
        <w:tc>
          <w:tcPr>
            <w:tcW w:type="dxa" w:w="7272"/>
          </w:tcPr>
          <w:p>
            <w:pPr>
              <w:spacing w:after="40"/>
            </w:pPr>
            <w:r>
              <w:rPr>
                <w:sz w:val="18"/>
              </w:rPr>
            </w:r>
            <w:r>
              <w:rPr>
                <w:b w:val="0"/>
                <w:i w:val="0"/>
                <w:sz w:val="18"/>
              </w:rPr>
              <w:t>Non-selective</w:t>
            </w:r>
          </w:p>
        </w:tc>
        <w:tc>
          <w:tcPr>
            <w:tcW w:type="dxa" w:w="7272"/>
          </w:tcPr>
          <w:p>
            <w:pPr>
              <w:spacing w:after="40"/>
            </w:pPr>
            <w:r>
              <w:rPr>
                <w:sz w:val="18"/>
              </w:rPr>
            </w:r>
            <w:r>
              <w:rPr>
                <w:b/>
                <w:i w:val="0"/>
                <w:sz w:val="18"/>
              </w:rPr>
              <w:t>Propranolol, nadolol</w:t>
            </w:r>
            <w:r>
              <w:rPr>
                <w:b w:val="0"/>
                <w:i w:val="0"/>
                <w:sz w:val="18"/>
              </w:rPr>
              <w:t xml:space="preserve"> [slide 17]</w:t>
            </w:r>
          </w:p>
        </w:tc>
      </w:tr>
      <w:tr>
        <w:tc>
          <w:tcPr>
            <w:tcW w:type="dxa" w:w="7272"/>
          </w:tcPr>
          <w:p>
            <w:pPr>
              <w:spacing w:after="40"/>
            </w:pPr>
            <w:r>
              <w:rPr>
                <w:sz w:val="18"/>
              </w:rPr>
            </w:r>
            <w:r>
              <w:rPr>
                <w:b w:val="0"/>
                <w:i w:val="0"/>
                <w:sz w:val="18"/>
              </w:rPr>
              <w:t>Third generation</w:t>
            </w:r>
          </w:p>
        </w:tc>
        <w:tc>
          <w:tcPr>
            <w:tcW w:type="dxa" w:w="7272"/>
          </w:tcPr>
          <w:p>
            <w:pPr>
              <w:spacing w:after="40"/>
            </w:pPr>
            <w:r>
              <w:rPr>
                <w:sz w:val="18"/>
              </w:rPr>
            </w:r>
            <w:r>
              <w:rPr>
                <w:b/>
                <w:i w:val="0"/>
                <w:sz w:val="18"/>
              </w:rPr>
              <w:t>Carvedilol, labetalol</w:t>
            </w:r>
            <w:r>
              <w:rPr>
                <w:b w:val="0"/>
                <w:i w:val="0"/>
                <w:sz w:val="18"/>
              </w:rPr>
              <w:t xml:space="preserve"> [slide 17]</w:t>
            </w:r>
          </w:p>
        </w:tc>
      </w:tr>
    </w:tbl>
    <w:p>
      <w:pPr>
        <w:spacing w:after="80"/>
      </w:pPr>
    </w:p>
    <w:p>
      <w:pPr>
        <w:spacing w:after="120"/>
      </w:pPr>
      <w:r>
        <w:rPr>
          <w:b w:val="0"/>
          <w:i w:val="0"/>
        </w:rPr>
        <w:t xml:space="preserve">Either beta-1 selective or non-selective agents may be used [slide 17]. </w:t>
      </w:r>
      <w:r>
        <w:rPr>
          <w:b/>
          <w:i w:val="0"/>
        </w:rPr>
        <w:t>Metoprolol and atenolol are the beta-1 selective beta blockers</w:t>
      </w:r>
      <w:r>
        <w:rPr>
          <w:b w:val="0"/>
          <w:i w:val="0"/>
        </w:rPr>
        <w:t xml:space="preserve"> [slide 17]. Propranolol and nadolol are non-selective beta blockers [slide 17], and </w:t>
      </w:r>
      <w:r>
        <w:rPr>
          <w:b/>
          <w:i w:val="0"/>
        </w:rPr>
        <w:t>non-selective (non-cardioselective) beta blockers are avoided in asthma</w:t>
      </w:r>
      <w:r>
        <w:rPr>
          <w:b w:val="0"/>
          <w:i w:val="0"/>
        </w:rPr>
        <w:t>; cardioselective beta blockers and non-dihydropyridine calcium channel blockers remain options there [slide 34].</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17:44 of the recording: </w:t>
            </w:r>
            <w:r>
              <w:rPr>
                <w:b w:val="0"/>
                <w:i/>
              </w:rPr>
              <w:t>“Remember the rule we used was A through M … beta-1 selective. N through Z typically are considered the non-selective agents, and then we’ll just need to know our exception with the third gen, that’s carvedilol and labetalol.”</w:t>
            </w:r>
          </w:p>
          <w:p>
            <w:pPr>
              <w:spacing w:after="120"/>
            </w:pPr>
            <w:r>
              <w:rPr>
                <w:b w:val="0"/>
                <w:i w:val="0"/>
              </w:rPr>
              <w:t xml:space="preserve">Selective: </w:t>
            </w:r>
            <w:r>
              <w:rPr>
                <w:b w:val="0"/>
                <w:i w:val="0"/>
                <w:highlight w:val="yellow"/>
              </w:rPr>
              <w:t>metoprolol, atenolol</w:t>
            </w:r>
            <w:r>
              <w:rPr>
                <w:b w:val="0"/>
                <w:i w:val="0"/>
              </w:rPr>
              <w:t xml:space="preserve"> (A through M). Non-selective: </w:t>
            </w:r>
            <w:r>
              <w:rPr>
                <w:b w:val="0"/>
                <w:i w:val="0"/>
                <w:highlight w:val="yellow"/>
              </w:rPr>
              <w:t>propranolol, nadolol</w:t>
            </w:r>
            <w:r>
              <w:rPr>
                <w:b w:val="0"/>
                <w:i w:val="0"/>
              </w:rPr>
              <w:t xml:space="preserve"> (N through Z). Third generation, the exception to the alphabet rule: </w:t>
            </w:r>
            <w:r>
              <w:rPr>
                <w:b w:val="0"/>
                <w:i w:val="0"/>
                <w:highlight w:val="yellow"/>
              </w:rPr>
              <w:t>carvedilol, labetalol</w:t>
            </w:r>
            <w:r>
              <w:rPr>
                <w:b w:val="0"/>
                <w:i w:val="0"/>
              </w:rPr>
              <w:t xml:space="preserve"> [slide 17].</w:t>
            </w:r>
          </w:p>
        </w:tc>
      </w:tr>
    </w:tbl>
    <w:p>
      <w:pPr>
        <w:spacing w:after="80"/>
      </w:pPr>
    </w:p>
    <w:p>
      <w:pPr>
        <w:spacing w:after="120"/>
      </w:pPr>
      <w:r>
        <w:rPr>
          <w:b/>
          <w:i w:val="0"/>
        </w:rPr>
        <w:t>Mechanism (Objective 2).</w:t>
      </w:r>
      <w:r>
        <w:rPr>
          <w:b w:val="0"/>
          <w:i w:val="0"/>
        </w:rPr>
        <w:t xml:space="preserve"> Beta blockers act on the </w:t>
      </w:r>
      <w:r>
        <w:rPr>
          <w:b/>
          <w:i w:val="0"/>
        </w:rPr>
        <w:t>demand</w:t>
      </w:r>
      <w:r>
        <w:rPr>
          <w:b w:val="0"/>
          <w:i w:val="0"/>
        </w:rPr>
        <w:t xml:space="preserve"> side only. They decrease heart rate and contractility and lower systolic blood pressure, and they have </w:t>
      </w:r>
      <w:r>
        <w:rPr>
          <w:b/>
          <w:i w:val="0"/>
        </w:rPr>
        <w:t>no effect on oxygen supply</w:t>
      </w:r>
      <w:r>
        <w:rPr>
          <w:b w:val="0"/>
          <w:i w:val="0"/>
        </w:rPr>
        <w:t xml:space="preserve"> [slide 16]. Their effect on left ventricular volume is an </w:t>
      </w:r>
      <w:r>
        <w:rPr>
          <w:b w:val="0"/>
          <w:i/>
        </w:rPr>
        <w:t>increase</w:t>
      </w:r>
      <w:r>
        <w:rPr>
          <w:b w:val="0"/>
          <w:i w:val="0"/>
        </w:rPr>
        <w:t xml:space="preserve"> [slide 16]. The receptor-level mechanism is taught with the antihypertensives (section 3.5); here only the hemodynamic result is on the slides.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6B3524"/>
          </w:tcPr>
          <w:p>
            <w:pPr>
              <w:spacing w:after="40"/>
            </w:pPr>
            <w:r>
              <w:rPr>
                <w:b/>
                <w:color w:val="FFFFFF"/>
                <w:sz w:val="18"/>
              </w:rPr>
            </w:r>
            <w:r>
              <w:rPr>
                <w:b/>
                <w:i w:val="0"/>
                <w:color w:val="FFFFFF"/>
                <w:sz w:val="18"/>
              </w:rPr>
              <w:t>Drug class</w:t>
            </w:r>
          </w:p>
        </w:tc>
        <w:tc>
          <w:tcPr>
            <w:tcW w:type="dxa" w:w="2909"/>
            <w:shd w:val="clear" w:color="auto" w:fill="6B3524"/>
          </w:tcPr>
          <w:p>
            <w:pPr>
              <w:spacing w:after="40"/>
            </w:pPr>
            <w:r>
              <w:rPr>
                <w:b/>
                <w:color w:val="FFFFFF"/>
                <w:sz w:val="18"/>
              </w:rPr>
            </w:r>
            <w:r>
              <w:rPr>
                <w:b/>
                <w:i w:val="0"/>
                <w:color w:val="FFFFFF"/>
                <w:sz w:val="18"/>
              </w:rPr>
              <w:t>Heart rate</w:t>
            </w:r>
          </w:p>
        </w:tc>
        <w:tc>
          <w:tcPr>
            <w:tcW w:type="dxa" w:w="2909"/>
            <w:shd w:val="clear" w:color="auto" w:fill="6B3524"/>
          </w:tcPr>
          <w:p>
            <w:pPr>
              <w:spacing w:after="40"/>
            </w:pPr>
            <w:r>
              <w:rPr>
                <w:b/>
                <w:color w:val="FFFFFF"/>
                <w:sz w:val="18"/>
              </w:rPr>
            </w:r>
            <w:r>
              <w:rPr>
                <w:b/>
                <w:i w:val="0"/>
                <w:color w:val="FFFFFF"/>
                <w:sz w:val="18"/>
              </w:rPr>
              <w:t>Contractility</w:t>
            </w:r>
          </w:p>
        </w:tc>
        <w:tc>
          <w:tcPr>
            <w:tcW w:type="dxa" w:w="2909"/>
            <w:shd w:val="clear" w:color="auto" w:fill="6B3524"/>
          </w:tcPr>
          <w:p>
            <w:pPr>
              <w:spacing w:after="40"/>
            </w:pPr>
            <w:r>
              <w:rPr>
                <w:b/>
                <w:color w:val="FFFFFF"/>
                <w:sz w:val="18"/>
              </w:rPr>
            </w:r>
            <w:r>
              <w:rPr>
                <w:b/>
                <w:i w:val="0"/>
                <w:color w:val="FFFFFF"/>
                <w:sz w:val="18"/>
              </w:rPr>
              <w:t>Systolic blood pressure</w:t>
            </w:r>
          </w:p>
        </w:tc>
        <w:tc>
          <w:tcPr>
            <w:tcW w:type="dxa" w:w="2909"/>
            <w:shd w:val="clear" w:color="auto" w:fill="6B3524"/>
          </w:tcPr>
          <w:p>
            <w:pPr>
              <w:spacing w:after="40"/>
            </w:pPr>
            <w:r>
              <w:rPr>
                <w:b/>
                <w:color w:val="FFFFFF"/>
                <w:sz w:val="18"/>
              </w:rPr>
            </w:r>
            <w:r>
              <w:rPr>
                <w:b/>
                <w:i w:val="0"/>
                <w:color w:val="FFFFFF"/>
                <w:sz w:val="18"/>
              </w:rPr>
              <w:t>Left ventricular volume</w:t>
            </w:r>
          </w:p>
        </w:tc>
      </w:tr>
      <w:tr>
        <w:tc>
          <w:tcPr>
            <w:tcW w:type="dxa" w:w="2909"/>
          </w:tcPr>
          <w:p>
            <w:pPr>
              <w:spacing w:after="40"/>
            </w:pPr>
            <w:r>
              <w:rPr>
                <w:sz w:val="18"/>
              </w:rPr>
            </w:r>
            <w:r>
              <w:rPr>
                <w:b/>
                <w:i w:val="0"/>
                <w:sz w:val="18"/>
              </w:rPr>
              <w:t>Beta blockers</w:t>
            </w:r>
          </w:p>
        </w:tc>
        <w:tc>
          <w:tcPr>
            <w:tcW w:type="dxa" w:w="2909"/>
          </w:tcPr>
          <w:p>
            <w:pPr>
              <w:spacing w:after="40"/>
            </w:pPr>
            <w:r>
              <w:rPr>
                <w:sz w:val="18"/>
              </w:rPr>
            </w:r>
            <w:r>
              <w:rPr>
                <w:b w:val="0"/>
                <w:i w:val="0"/>
                <w:sz w:val="18"/>
              </w:rPr>
              <w:t>Decreased (strongly)</w:t>
            </w:r>
          </w:p>
        </w:tc>
        <w:tc>
          <w:tcPr>
            <w:tcW w:type="dxa" w:w="2909"/>
          </w:tcPr>
          <w:p>
            <w:pPr>
              <w:spacing w:after="40"/>
            </w:pPr>
            <w:r>
              <w:rPr>
                <w:sz w:val="18"/>
              </w:rPr>
            </w:r>
            <w:r>
              <w:rPr>
                <w:b w:val="0"/>
                <w:i w:val="0"/>
                <w:sz w:val="18"/>
              </w:rPr>
              <w:t>Decreased</w:t>
            </w:r>
          </w:p>
        </w:tc>
        <w:tc>
          <w:tcPr>
            <w:tcW w:type="dxa" w:w="2909"/>
          </w:tcPr>
          <w:p>
            <w:pPr>
              <w:spacing w:after="40"/>
            </w:pPr>
            <w:r>
              <w:rPr>
                <w:sz w:val="18"/>
              </w:rPr>
            </w:r>
            <w:r>
              <w:rPr>
                <w:b w:val="0"/>
                <w:i w:val="0"/>
                <w:sz w:val="18"/>
              </w:rPr>
              <w:t>Decreased</w:t>
            </w:r>
          </w:p>
        </w:tc>
        <w:tc>
          <w:tcPr>
            <w:tcW w:type="dxa" w:w="2909"/>
          </w:tcPr>
          <w:p>
            <w:pPr>
              <w:spacing w:after="40"/>
            </w:pPr>
            <w:r>
              <w:rPr>
                <w:sz w:val="18"/>
              </w:rPr>
            </w:r>
            <w:r>
              <w:rPr>
                <w:b w:val="0"/>
                <w:i w:val="0"/>
                <w:sz w:val="18"/>
              </w:rPr>
              <w:t>Increased</w:t>
            </w:r>
          </w:p>
        </w:tc>
      </w:tr>
      <w:tr>
        <w:tc>
          <w:tcPr>
            <w:tcW w:type="dxa" w:w="2909"/>
          </w:tcPr>
          <w:p>
            <w:pPr>
              <w:spacing w:after="40"/>
            </w:pPr>
            <w:r>
              <w:rPr>
                <w:sz w:val="18"/>
              </w:rPr>
            </w:r>
            <w:r>
              <w:rPr>
                <w:b/>
                <w:i w:val="0"/>
                <w:sz w:val="18"/>
              </w:rPr>
              <w:t>Dihydropyridine calcium channel blockers</w:t>
            </w:r>
          </w:p>
        </w:tc>
        <w:tc>
          <w:tcPr>
            <w:tcW w:type="dxa" w:w="2909"/>
          </w:tcPr>
          <w:p>
            <w:pPr>
              <w:spacing w:after="40"/>
            </w:pPr>
            <w:r>
              <w:rPr>
                <w:sz w:val="18"/>
              </w:rPr>
            </w:r>
            <w:r>
              <w:rPr>
                <w:b w:val="0"/>
                <w:i w:val="0"/>
                <w:sz w:val="18"/>
              </w:rPr>
              <w:t>Increased</w:t>
            </w:r>
          </w:p>
        </w:tc>
        <w:tc>
          <w:tcPr>
            <w:tcW w:type="dxa" w:w="2909"/>
          </w:tcPr>
          <w:p>
            <w:pPr>
              <w:spacing w:after="40"/>
            </w:pPr>
            <w:r>
              <w:rPr>
                <w:sz w:val="18"/>
              </w:rPr>
            </w:r>
            <w:r>
              <w:rPr>
                <w:b w:val="0"/>
                <w:i w:val="0"/>
                <w:sz w:val="18"/>
              </w:rPr>
              <w:t>Unchanged or decreased</w:t>
            </w:r>
          </w:p>
        </w:tc>
        <w:tc>
          <w:tcPr>
            <w:tcW w:type="dxa" w:w="2909"/>
          </w:tcPr>
          <w:p>
            <w:pPr>
              <w:spacing w:after="40"/>
            </w:pPr>
            <w:r>
              <w:rPr>
                <w:sz w:val="18"/>
              </w:rPr>
            </w:r>
            <w:r>
              <w:rPr>
                <w:b w:val="0"/>
                <w:i w:val="0"/>
                <w:sz w:val="18"/>
              </w:rPr>
              <w:t>Decreased (strongly)</w:t>
            </w:r>
          </w:p>
        </w:tc>
        <w:tc>
          <w:tcPr>
            <w:tcW w:type="dxa" w:w="2909"/>
          </w:tcPr>
          <w:p>
            <w:pPr>
              <w:spacing w:after="40"/>
            </w:pPr>
            <w:r>
              <w:rPr>
                <w:sz w:val="18"/>
              </w:rPr>
            </w:r>
            <w:r>
              <w:rPr>
                <w:b w:val="0"/>
                <w:i w:val="0"/>
                <w:sz w:val="18"/>
              </w:rPr>
              <w:t>Unchanged or decreased</w:t>
            </w:r>
          </w:p>
        </w:tc>
      </w:tr>
      <w:tr>
        <w:tc>
          <w:tcPr>
            <w:tcW w:type="dxa" w:w="2909"/>
          </w:tcPr>
          <w:p>
            <w:pPr>
              <w:spacing w:after="40"/>
            </w:pPr>
            <w:r>
              <w:rPr>
                <w:sz w:val="18"/>
              </w:rPr>
            </w:r>
            <w:r>
              <w:rPr>
                <w:b/>
                <w:i w:val="0"/>
                <w:sz w:val="18"/>
              </w:rPr>
              <w:t>Non-dihydropyridine calcium channel blockers</w:t>
            </w:r>
          </w:p>
        </w:tc>
        <w:tc>
          <w:tcPr>
            <w:tcW w:type="dxa" w:w="2909"/>
          </w:tcPr>
          <w:p>
            <w:pPr>
              <w:spacing w:after="40"/>
            </w:pPr>
            <w:r>
              <w:rPr>
                <w:sz w:val="18"/>
              </w:rPr>
            </w:r>
            <w:r>
              <w:rPr>
                <w:b w:val="0"/>
                <w:i w:val="0"/>
                <w:sz w:val="18"/>
              </w:rPr>
              <w:t>Decreased</w:t>
            </w:r>
          </w:p>
        </w:tc>
        <w:tc>
          <w:tcPr>
            <w:tcW w:type="dxa" w:w="2909"/>
          </w:tcPr>
          <w:p>
            <w:pPr>
              <w:spacing w:after="40"/>
            </w:pPr>
            <w:r>
              <w:rPr>
                <w:sz w:val="18"/>
              </w:rPr>
            </w:r>
            <w:r>
              <w:rPr>
                <w:b w:val="0"/>
                <w:i w:val="0"/>
                <w:sz w:val="18"/>
              </w:rPr>
              <w:t>Decreased</w:t>
            </w:r>
          </w:p>
        </w:tc>
        <w:tc>
          <w:tcPr>
            <w:tcW w:type="dxa" w:w="2909"/>
          </w:tcPr>
          <w:p>
            <w:pPr>
              <w:spacing w:after="40"/>
            </w:pPr>
            <w:r>
              <w:rPr>
                <w:sz w:val="18"/>
              </w:rPr>
            </w:r>
            <w:r>
              <w:rPr>
                <w:b w:val="0"/>
                <w:i w:val="0"/>
                <w:sz w:val="18"/>
              </w:rPr>
              <w:t>Decreased</w:t>
            </w:r>
          </w:p>
        </w:tc>
        <w:tc>
          <w:tcPr>
            <w:tcW w:type="dxa" w:w="2909"/>
          </w:tcPr>
          <w:p>
            <w:pPr>
              <w:spacing w:after="40"/>
            </w:pPr>
            <w:r>
              <w:rPr>
                <w:sz w:val="18"/>
              </w:rPr>
            </w:r>
            <w:r>
              <w:rPr>
                <w:b w:val="0"/>
                <w:i w:val="0"/>
                <w:sz w:val="18"/>
              </w:rPr>
              <w:t>Unchanged or decreased</w:t>
            </w:r>
          </w:p>
        </w:tc>
      </w:tr>
      <w:tr>
        <w:tc>
          <w:tcPr>
            <w:tcW w:type="dxa" w:w="2909"/>
          </w:tcPr>
          <w:p>
            <w:pPr>
              <w:spacing w:after="40"/>
            </w:pPr>
            <w:r>
              <w:rPr>
                <w:sz w:val="18"/>
              </w:rPr>
            </w:r>
            <w:r>
              <w:rPr>
                <w:b/>
                <w:i w:val="0"/>
                <w:sz w:val="18"/>
              </w:rPr>
              <w:t>Nitrates</w:t>
            </w:r>
          </w:p>
        </w:tc>
        <w:tc>
          <w:tcPr>
            <w:tcW w:type="dxa" w:w="2909"/>
          </w:tcPr>
          <w:p>
            <w:pPr>
              <w:spacing w:after="40"/>
            </w:pPr>
            <w:r>
              <w:rPr>
                <w:sz w:val="18"/>
              </w:rPr>
            </w:r>
            <w:r>
              <w:rPr>
                <w:b w:val="0"/>
                <w:i w:val="0"/>
                <w:sz w:val="18"/>
              </w:rPr>
              <w:t>Increased</w:t>
            </w:r>
          </w:p>
        </w:tc>
        <w:tc>
          <w:tcPr>
            <w:tcW w:type="dxa" w:w="2909"/>
          </w:tcPr>
          <w:p>
            <w:pPr>
              <w:spacing w:after="40"/>
            </w:pPr>
            <w:r>
              <w:rPr>
                <w:sz w:val="18"/>
              </w:rPr>
            </w:r>
            <w:r>
              <w:rPr>
                <w:b w:val="0"/>
                <w:i w:val="0"/>
                <w:sz w:val="18"/>
              </w:rPr>
              <w:t>No effect listed</w:t>
            </w:r>
          </w:p>
        </w:tc>
        <w:tc>
          <w:tcPr>
            <w:tcW w:type="dxa" w:w="2909"/>
          </w:tcPr>
          <w:p>
            <w:pPr>
              <w:spacing w:after="40"/>
            </w:pPr>
            <w:r>
              <w:rPr>
                <w:sz w:val="18"/>
              </w:rPr>
            </w:r>
            <w:r>
              <w:rPr>
                <w:b w:val="0"/>
                <w:i w:val="0"/>
                <w:sz w:val="18"/>
              </w:rPr>
              <w:t>Decreased</w:t>
            </w:r>
          </w:p>
        </w:tc>
        <w:tc>
          <w:tcPr>
            <w:tcW w:type="dxa" w:w="2909"/>
          </w:tcPr>
          <w:p>
            <w:pPr>
              <w:spacing w:after="40"/>
            </w:pPr>
            <w:r>
              <w:rPr>
                <w:sz w:val="18"/>
              </w:rPr>
            </w:r>
            <w:r>
              <w:rPr>
                <w:b w:val="0"/>
                <w:i w:val="0"/>
                <w:sz w:val="18"/>
              </w:rPr>
              <w:t>Decreased (strongly)</w:t>
            </w:r>
          </w:p>
        </w:tc>
      </w:tr>
    </w:tbl>
    <w:p>
      <w:pPr>
        <w:spacing w:after="80"/>
      </w:pPr>
    </w:p>
    <w:p>
      <w:pPr>
        <w:spacing w:after="120"/>
      </w:pPr>
      <w:r>
        <w:rPr>
          <w:b w:val="0"/>
          <w:i w:val="0"/>
        </w:rPr>
        <w:t>This table is the deck’s hemodynamic summary of all three antianginal classes [slides 16, 20 and 25]. Read it across: beta blockers and non-dihydropyridines slow the heart, while the dihydropyridines as a class and nitrates raise the rate.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Objective</w:t>
            </w:r>
          </w:p>
        </w:tc>
        <w:tc>
          <w:tcPr>
            <w:tcW w:type="dxa" w:w="7272"/>
            <w:shd w:val="clear" w:color="auto" w:fill="6B3524"/>
          </w:tcPr>
          <w:p>
            <w:pPr>
              <w:spacing w:after="40"/>
            </w:pPr>
            <w:r>
              <w:rPr>
                <w:b/>
                <w:color w:val="FFFFFF"/>
                <w:sz w:val="18"/>
              </w:rPr>
            </w:r>
            <w:r>
              <w:rPr>
                <w:b/>
                <w:i w:val="0"/>
                <w:color w:val="FFFFFF"/>
                <w:sz w:val="18"/>
              </w:rPr>
              <w:t>What the slides give for beta blockers</w:t>
            </w:r>
          </w:p>
        </w:tc>
      </w:tr>
      <w:tr>
        <w:tc>
          <w:tcPr>
            <w:tcW w:type="dxa" w:w="7272"/>
          </w:tcPr>
          <w:p>
            <w:pPr>
              <w:spacing w:after="40"/>
            </w:pPr>
            <w:r>
              <w:rPr>
                <w:sz w:val="18"/>
              </w:rPr>
            </w:r>
            <w:r>
              <w:rPr>
                <w:b/>
                <w:i w:val="0"/>
                <w:sz w:val="18"/>
              </w:rPr>
              <w:t>3 · Indications</w:t>
            </w:r>
          </w:p>
        </w:tc>
        <w:tc>
          <w:tcPr>
            <w:tcW w:type="dxa" w:w="7272"/>
          </w:tcPr>
          <w:p>
            <w:pPr>
              <w:spacing w:after="40"/>
            </w:pPr>
            <w:r>
              <w:rPr>
                <w:sz w:val="18"/>
              </w:rPr>
            </w:r>
            <w:r>
              <w:rPr>
                <w:b w:val="0"/>
                <w:i w:val="0"/>
                <w:sz w:val="18"/>
              </w:rPr>
              <w:t>First line for angina; helpful when hypertension, anxiety, supraventricular arrhythmias, heart failure (stable, compensated; see below) or a prior myocardial infarction is also present [slide 17]. Give a beta blocker after a prior myocardial infarction unless contraindicated [slide 38]</w:t>
            </w:r>
          </w:p>
        </w:tc>
      </w:tr>
      <w:tr>
        <w:tc>
          <w:tcPr>
            <w:tcW w:type="dxa" w:w="7272"/>
          </w:tcPr>
          <w:p>
            <w:pPr>
              <w:spacing w:after="40"/>
            </w:pPr>
            <w:r>
              <w:rPr>
                <w:sz w:val="18"/>
              </w:rPr>
            </w:r>
            <w:r>
              <w:rPr>
                <w:b/>
                <w:i w:val="0"/>
                <w:sz w:val="18"/>
              </w:rPr>
              <w:t>7 · Contraindications</w:t>
            </w:r>
          </w:p>
        </w:tc>
        <w:tc>
          <w:tcPr>
            <w:tcW w:type="dxa" w:w="7272"/>
          </w:tcPr>
          <w:p>
            <w:pPr>
              <w:spacing w:after="40"/>
            </w:pPr>
            <w:r>
              <w:rPr>
                <w:sz w:val="18"/>
              </w:rPr>
            </w:r>
            <w:r>
              <w:rPr>
                <w:b/>
                <w:i w:val="0"/>
                <w:sz w:val="18"/>
              </w:rPr>
              <w:t>Heart rate below 60 beats per minute; systolic blood pressure below 100 mmHg; atrioventricular block; acute decompensated heart failure</w:t>
            </w:r>
            <w:r>
              <w:rPr>
                <w:b w:val="0"/>
                <w:i w:val="0"/>
                <w:sz w:val="18"/>
              </w:rPr>
              <w:t xml:space="preserve"> [slide 18]</w:t>
            </w:r>
          </w:p>
        </w:tc>
      </w:tr>
      <w:tr>
        <w:tc>
          <w:tcPr>
            <w:tcW w:type="dxa" w:w="7272"/>
          </w:tcPr>
          <w:p>
            <w:pPr>
              <w:spacing w:after="40"/>
            </w:pPr>
            <w:r>
              <w:rPr>
                <w:sz w:val="18"/>
              </w:rPr>
            </w:r>
            <w:r>
              <w:rPr>
                <w:b/>
                <w:i w:val="0"/>
                <w:sz w:val="18"/>
              </w:rPr>
              <w:t>7 · Precautions</w:t>
            </w:r>
          </w:p>
        </w:tc>
        <w:tc>
          <w:tcPr>
            <w:tcW w:type="dxa" w:w="7272"/>
          </w:tcPr>
          <w:p>
            <w:pPr>
              <w:spacing w:after="40"/>
            </w:pPr>
            <w:r>
              <w:rPr>
                <w:sz w:val="18"/>
              </w:rPr>
            </w:r>
            <w:r>
              <w:rPr>
                <w:b/>
                <w:i w:val="0"/>
                <w:sz w:val="18"/>
              </w:rPr>
              <w:t>Reactive airway disease; systolic heart failure; diabetes; peripheral vascular disease</w:t>
            </w:r>
            <w:r>
              <w:rPr>
                <w:b w:val="0"/>
                <w:i w:val="0"/>
                <w:sz w:val="18"/>
              </w:rPr>
              <w:t xml:space="preserve"> [slide 18]</w:t>
            </w:r>
          </w:p>
        </w:tc>
      </w:tr>
      <w:tr>
        <w:tc>
          <w:tcPr>
            <w:tcW w:type="dxa" w:w="7272"/>
          </w:tcPr>
          <w:p>
            <w:pPr>
              <w:spacing w:after="40"/>
            </w:pPr>
            <w:r>
              <w:rPr>
                <w:sz w:val="18"/>
              </w:rPr>
            </w:r>
            <w:r>
              <w:rPr>
                <w:b/>
                <w:i w:val="0"/>
                <w:sz w:val="18"/>
              </w:rPr>
              <w:t>5–6 · Side effects and adverse effects</w:t>
            </w:r>
          </w:p>
        </w:tc>
        <w:tc>
          <w:tcPr>
            <w:tcW w:type="dxa" w:w="7272"/>
          </w:tcPr>
          <w:p>
            <w:pPr>
              <w:spacing w:after="40"/>
            </w:pPr>
            <w:r>
              <w:rPr>
                <w:sz w:val="18"/>
              </w:rPr>
            </w:r>
            <w:r>
              <w:rPr>
                <w:b w:val="0"/>
                <w:i w:val="0"/>
                <w:sz w:val="18"/>
              </w:rPr>
              <w:t>Hypotension, bradycardia, hyperglycemia and dyslipidemia; fatigue, sexual dysfunction, nightmares and worsened claudication [slide 19]</w:t>
            </w:r>
          </w:p>
        </w:tc>
      </w:tr>
      <w:tr>
        <w:tc>
          <w:tcPr>
            <w:tcW w:type="dxa" w:w="7272"/>
          </w:tcPr>
          <w:p>
            <w:pPr>
              <w:spacing w:after="40"/>
            </w:pPr>
            <w:r>
              <w:rPr>
                <w:sz w:val="18"/>
              </w:rPr>
            </w:r>
            <w:r>
              <w:rPr>
                <w:b/>
                <w:i w:val="0"/>
                <w:sz w:val="18"/>
              </w:rPr>
              <w:t>4 · Absorption, distribution, metabolism, excretion</w:t>
            </w:r>
          </w:p>
        </w:tc>
        <w:tc>
          <w:tcPr>
            <w:tcW w:type="dxa" w:w="7272"/>
          </w:tcPr>
          <w:p>
            <w:pPr>
              <w:spacing w:after="40"/>
            </w:pPr>
            <w:r>
              <w:rPr>
                <w:sz w:val="18"/>
              </w:rPr>
            </w:r>
            <w:r>
              <w:rPr>
                <w:b w:val="0"/>
                <w:i w:val="0"/>
                <w:sz w:val="18"/>
              </w:rPr>
              <w:t>The slides give none for beta blockers in this lecture</w:t>
            </w:r>
          </w:p>
        </w:tc>
      </w:tr>
    </w:tbl>
    <w:p>
      <w:pPr>
        <w:spacing w:after="80"/>
      </w:pPr>
    </w:p>
    <w:p>
      <w:pPr>
        <w:spacing w:after="120"/>
      </w:pPr>
      <w:r>
        <w:rPr>
          <w:b/>
          <w:i w:val="0"/>
        </w:rPr>
        <w:t>Beta blockers may worsen claudication</w:t>
      </w:r>
      <w:r>
        <w:rPr>
          <w:b w:val="0"/>
          <w:i w:val="0"/>
        </w:rPr>
        <w:t xml:space="preserve"> (leg pain with walking); worsened claudication is a listed beta blocker adverse reaction, and peripheral vascular disease is a listed precaution [slides 18 and 19]; read together, they suggest that claudication is the reason for the precaution. Beta blockers as a class, including non-selective agents such as nadolol and propranolol, can cause fatigue, sexual dysfunction, nightmares and worsened claudication [slides 17 and 19].</w:t>
      </w:r>
    </w:p>
    <w:p>
      <w:pPr>
        <w:spacing w:after="120"/>
      </w:pPr>
      <w:r>
        <w:rPr>
          <w:b/>
          <w:i w:val="0"/>
        </w:rPr>
        <w:t>Hypotension is listed for all three antianginal classes</w:t>
      </w:r>
      <w:r>
        <w:rPr>
          <w:b w:val="0"/>
          <w:i w:val="0"/>
        </w:rPr>
        <w:t>: beta blockers [slide 19], calcium channel blockers [slide 24] and nitrates, as postural hypotension [slide 31]. All three lower systolic blood pressure [slides 16, 20 and 25].</w:t>
      </w:r>
    </w:p>
    <w:p>
      <w:pPr>
        <w:spacing w:after="120"/>
      </w:pPr>
      <w:r>
        <w:rPr>
          <w:b w:val="0"/>
          <w:i w:val="0"/>
        </w:rPr>
        <w:t xml:space="preserve">Two entries that look alike are the ones to keep apart: </w:t>
      </w:r>
      <w:r>
        <w:rPr>
          <w:b/>
          <w:i w:val="0"/>
        </w:rPr>
        <w:t>systolic heart failure is a precaution, acute decompensated heart failure is a contraindication</w:t>
      </w:r>
      <w:r>
        <w:rPr>
          <w:b w:val="0"/>
          <w:i w:val="0"/>
        </w:rPr>
        <w:t xml:space="preserve"> [slide 18]. Slide 17 lists heart failure among the conditions a beta blocker helps. Read together, slides 17 and 18 imply that the line is between stable and acutely decompensated failure.</w:t>
      </w:r>
    </w:p>
    <w:p>
      <w:pPr>
        <w:spacing w:after="120"/>
      </w:pPr>
      <w:r>
        <w:rPr>
          <w:b/>
          <w:i w:val="0"/>
        </w:rPr>
        <w:t>Monitoring</w:t>
      </w:r>
      <w:r>
        <w:rPr>
          <w:b w:val="0"/>
          <w:i w:val="0"/>
        </w:rPr>
        <w:t xml:space="preserve"> is of heart rate, blood sugar and lipids [slide 19]. </w:t>
      </w:r>
      <w:r>
        <w:rPr>
          <w:b/>
          <w:i w:val="0"/>
        </w:rPr>
        <w:t>Education:</w:t>
      </w:r>
      <w:r>
        <w:rPr>
          <w:b w:val="0"/>
          <w:i w:val="0"/>
        </w:rPr>
        <w:t xml:space="preserve"> avoid rapid discontinuation; expect dizziness and fatigue [slide 19]. The reason to avoid stopping suddenly is given with the antihypertensive beta blockers (section 3.5): abrupt withdrawal can cause angina, myocardial infarction and high blood pressure. That reason is not on this lecture’s slides.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19:55 of the recording: </w:t>
            </w:r>
            <w:r>
              <w:rPr>
                <w:b w:val="0"/>
                <w:i/>
              </w:rPr>
              <w:t>“We recommend against immediate discontinuation, so don’t quit cold turkey… even MIs have been induced because of the rapid discontinuation of beta blockers.”</w:t>
            </w:r>
          </w:p>
          <w:p>
            <w:pPr>
              <w:spacing w:after="120"/>
            </w:pPr>
            <w:r>
              <w:rPr>
                <w:b w:val="0"/>
                <w:i w:val="0"/>
              </w:rPr>
              <w:t xml:space="preserve">Beta blocker education: </w:t>
            </w:r>
            <w:r>
              <w:rPr>
                <w:b w:val="0"/>
                <w:i w:val="0"/>
                <w:highlight w:val="yellow"/>
              </w:rPr>
              <w:t>avoid rapid discontinuation</w:t>
            </w:r>
            <w:r>
              <w:rPr>
                <w:b w:val="0"/>
                <w:i w:val="0"/>
              </w:rPr>
              <w:t xml:space="preserve"> [slide 19]. He tied it to rebound angina and even myocardial infarction.</w:t>
            </w:r>
          </w:p>
        </w:tc>
      </w:tr>
    </w:tbl>
    <w:p>
      <w:pPr>
        <w:spacing w:after="80"/>
      </w:pPr>
    </w:p>
    <w:p>
      <w:pPr>
        <w:spacing w:after="120"/>
      </w:pPr>
      <w:r>
        <w:rPr>
          <w:b w:val="0"/>
          <w:i w:val="0"/>
        </w:rPr>
        <w:t>Also tested</w:t>
      </w:r>
    </w:p>
    <w:p>
      <w:pPr>
        <w:pStyle w:val="ListBullet"/>
        <w:spacing w:after="40"/>
      </w:pPr>
      <w:r>
        <w:rPr>
          <w:b/>
          <w:i w:val="0"/>
          <w:sz w:val="20"/>
        </w:rPr>
        <w:t>Propranolol is a non-cardioselective beta blocker.</w:t>
      </w:r>
      <w:r>
        <w:rPr>
          <w:b w:val="0"/>
          <w:i w:val="0"/>
          <w:sz w:val="20"/>
        </w:rPr>
        <w:t xml:space="preserve"> Non-cardioselective beta blockers such as propranolol are to be avoided in asthma.</w:t>
      </w:r>
    </w:p>
    <w:p>
      <w:pPr>
        <w:pStyle w:val="Heading2"/>
        <w:spacing w:before="200" w:after="100"/>
      </w:pPr>
      <w:r>
        <w:rPr>
          <w:rFonts w:ascii="Georgia" w:hAnsi="Georgia"/>
          <w:color w:val="6B3524"/>
        </w:rPr>
        <w:t>5.3 · Objectives 1–7 — Calcium channel blockers</w:t>
      </w:r>
    </w:p>
    <w:p>
      <w:pPr>
        <w:spacing w:after="120"/>
      </w:pPr>
      <w:r>
        <w:rPr>
          <w:b/>
          <w:i w:val="0"/>
        </w:rPr>
        <w:t>Mechanism (Objective 2).</w:t>
      </w:r>
      <w:r>
        <w:rPr>
          <w:b w:val="0"/>
          <w:i w:val="0"/>
        </w:rPr>
        <w:t xml:space="preserve"> Calcium channel blockers lower oxygen demand and raise supply [slide 20]. On the </w:t>
      </w:r>
      <w:r>
        <w:rPr>
          <w:b/>
          <w:i w:val="0"/>
        </w:rPr>
        <w:t>supply</w:t>
      </w:r>
      <w:r>
        <w:rPr>
          <w:b w:val="0"/>
          <w:i w:val="0"/>
        </w:rPr>
        <w:t xml:space="preserve"> side they give </w:t>
      </w:r>
      <w:r>
        <w:rPr>
          <w:b/>
          <w:i w:val="0"/>
        </w:rPr>
        <w:t>mild dilation in areas of fixed stenosis and relief of vasospasm</w:t>
      </w:r>
      <w:r>
        <w:rPr>
          <w:b w:val="0"/>
          <w:i w:val="0"/>
        </w:rPr>
        <w:t xml:space="preserve"> [slide 20]. On the demand side the two subclasses differ, as the hemodynamic table in 5.2 shows: non-dihydropyridines slow the heart rate and weaken contraction; dihydropyridines lower systolic blood pressure strongly and raise the heart rate [slide 20].</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6B3524"/>
          </w:tcPr>
          <w:p>
            <w:pPr>
              <w:spacing w:after="40"/>
            </w:pPr>
            <w:r>
              <w:rPr>
                <w:b/>
                <w:color w:val="FFFFFF"/>
                <w:sz w:val="18"/>
              </w:rPr>
            </w:r>
            <w:r>
              <w:rPr>
                <w:b/>
                <w:i w:val="0"/>
                <w:color w:val="FFFFFF"/>
                <w:sz w:val="18"/>
              </w:rPr>
              <w:t>Subclass and agent</w:t>
            </w:r>
          </w:p>
        </w:tc>
        <w:tc>
          <w:tcPr>
            <w:tcW w:type="dxa" w:w="2909"/>
            <w:shd w:val="clear" w:color="auto" w:fill="6B3524"/>
          </w:tcPr>
          <w:p>
            <w:pPr>
              <w:spacing w:after="40"/>
            </w:pPr>
            <w:r>
              <w:rPr>
                <w:b/>
                <w:color w:val="FFFFFF"/>
                <w:sz w:val="18"/>
              </w:rPr>
            </w:r>
            <w:r>
              <w:rPr>
                <w:b/>
                <w:i w:val="0"/>
                <w:color w:val="FFFFFF"/>
                <w:sz w:val="18"/>
              </w:rPr>
              <w:t>Vasodilation</w:t>
            </w:r>
          </w:p>
        </w:tc>
        <w:tc>
          <w:tcPr>
            <w:tcW w:type="dxa" w:w="2909"/>
            <w:shd w:val="clear" w:color="auto" w:fill="6B3524"/>
          </w:tcPr>
          <w:p>
            <w:pPr>
              <w:spacing w:after="40"/>
            </w:pPr>
            <w:r>
              <w:rPr>
                <w:b/>
                <w:color w:val="FFFFFF"/>
                <w:sz w:val="18"/>
              </w:rPr>
            </w:r>
            <w:r>
              <w:rPr>
                <w:b/>
                <w:i w:val="0"/>
                <w:color w:val="FFFFFF"/>
                <w:sz w:val="18"/>
              </w:rPr>
              <w:t>Contractility</w:t>
            </w:r>
          </w:p>
        </w:tc>
        <w:tc>
          <w:tcPr>
            <w:tcW w:type="dxa" w:w="2909"/>
            <w:shd w:val="clear" w:color="auto" w:fill="6B3524"/>
          </w:tcPr>
          <w:p>
            <w:pPr>
              <w:spacing w:after="40"/>
            </w:pPr>
            <w:r>
              <w:rPr>
                <w:b/>
                <w:color w:val="FFFFFF"/>
                <w:sz w:val="18"/>
              </w:rPr>
            </w:r>
            <w:r>
              <w:rPr>
                <w:b/>
                <w:i w:val="0"/>
                <w:color w:val="FFFFFF"/>
                <w:sz w:val="18"/>
              </w:rPr>
              <w:t>Heart rate</w:t>
            </w:r>
          </w:p>
        </w:tc>
        <w:tc>
          <w:tcPr>
            <w:tcW w:type="dxa" w:w="2909"/>
            <w:shd w:val="clear" w:color="auto" w:fill="6B3524"/>
          </w:tcPr>
          <w:p>
            <w:pPr>
              <w:spacing w:after="40"/>
            </w:pPr>
            <w:r>
              <w:rPr>
                <w:b/>
                <w:color w:val="FFFFFF"/>
                <w:sz w:val="18"/>
              </w:rPr>
            </w:r>
            <w:r>
              <w:rPr>
                <w:b/>
                <w:i w:val="0"/>
                <w:color w:val="FFFFFF"/>
                <w:sz w:val="18"/>
              </w:rPr>
              <w:t>Atrioventricular conduction</w:t>
            </w:r>
          </w:p>
        </w:tc>
      </w:tr>
      <w:tr>
        <w:tc>
          <w:tcPr>
            <w:tcW w:type="dxa" w:w="2909"/>
          </w:tcPr>
          <w:p>
            <w:pPr>
              <w:spacing w:after="40"/>
            </w:pPr>
            <w:r>
              <w:rPr>
                <w:sz w:val="18"/>
              </w:rPr>
            </w:r>
            <w:r>
              <w:rPr>
                <w:b/>
                <w:i w:val="0"/>
                <w:sz w:val="18"/>
              </w:rPr>
              <w:t>Non-dihydropyridine: diltiazem</w:t>
            </w:r>
          </w:p>
        </w:tc>
        <w:tc>
          <w:tcPr>
            <w:tcW w:type="dxa" w:w="2909"/>
          </w:tcPr>
          <w:p>
            <w:pPr>
              <w:spacing w:after="40"/>
            </w:pPr>
            <w:r>
              <w:rPr>
                <w:sz w:val="18"/>
              </w:rPr>
            </w:r>
            <w:r>
              <w:rPr>
                <w:b w:val="0"/>
                <w:i w:val="0"/>
                <w:sz w:val="18"/>
              </w:rPr>
              <w:t>++ (less)</w:t>
            </w:r>
          </w:p>
        </w:tc>
        <w:tc>
          <w:tcPr>
            <w:tcW w:type="dxa" w:w="2909"/>
          </w:tcPr>
          <w:p>
            <w:pPr>
              <w:spacing w:after="40"/>
            </w:pPr>
            <w:r>
              <w:rPr>
                <w:sz w:val="18"/>
              </w:rPr>
            </w:r>
            <w:r>
              <w:rPr>
                <w:b w:val="0"/>
                <w:i w:val="0"/>
                <w:sz w:val="18"/>
              </w:rPr>
              <w:t>Decreased (strongly)</w:t>
            </w:r>
          </w:p>
        </w:tc>
        <w:tc>
          <w:tcPr>
            <w:tcW w:type="dxa" w:w="2909"/>
          </w:tcPr>
          <w:p>
            <w:pPr>
              <w:spacing w:after="40"/>
            </w:pPr>
            <w:r>
              <w:rPr>
                <w:sz w:val="18"/>
              </w:rPr>
            </w:r>
            <w:r>
              <w:rPr>
                <w:b w:val="0"/>
                <w:i w:val="0"/>
                <w:sz w:val="18"/>
              </w:rPr>
              <w:t>Decreased</w:t>
            </w:r>
          </w:p>
        </w:tc>
        <w:tc>
          <w:tcPr>
            <w:tcW w:type="dxa" w:w="2909"/>
          </w:tcPr>
          <w:p>
            <w:pPr>
              <w:spacing w:after="40"/>
            </w:pPr>
            <w:r>
              <w:rPr>
                <w:sz w:val="18"/>
              </w:rPr>
            </w:r>
            <w:r>
              <w:rPr>
                <w:b w:val="0"/>
                <w:i w:val="0"/>
                <w:sz w:val="18"/>
              </w:rPr>
              <w:t>Decreased</w:t>
            </w:r>
          </w:p>
        </w:tc>
      </w:tr>
      <w:tr>
        <w:tc>
          <w:tcPr>
            <w:tcW w:type="dxa" w:w="2909"/>
          </w:tcPr>
          <w:p>
            <w:pPr>
              <w:spacing w:after="40"/>
            </w:pPr>
            <w:r>
              <w:rPr>
                <w:sz w:val="18"/>
              </w:rPr>
            </w:r>
            <w:r>
              <w:rPr>
                <w:b/>
                <w:i w:val="0"/>
                <w:sz w:val="18"/>
              </w:rPr>
              <w:t>Non-dihydropyridine: verapamil</w:t>
            </w:r>
          </w:p>
        </w:tc>
        <w:tc>
          <w:tcPr>
            <w:tcW w:type="dxa" w:w="2909"/>
          </w:tcPr>
          <w:p>
            <w:pPr>
              <w:spacing w:after="40"/>
            </w:pPr>
            <w:r>
              <w:rPr>
                <w:sz w:val="18"/>
              </w:rPr>
            </w:r>
            <w:r>
              <w:rPr>
                <w:b w:val="0"/>
                <w:i w:val="0"/>
                <w:sz w:val="18"/>
              </w:rPr>
              <w:t>++ (less)</w:t>
            </w:r>
          </w:p>
        </w:tc>
        <w:tc>
          <w:tcPr>
            <w:tcW w:type="dxa" w:w="2909"/>
          </w:tcPr>
          <w:p>
            <w:pPr>
              <w:spacing w:after="40"/>
            </w:pPr>
            <w:r>
              <w:rPr>
                <w:sz w:val="18"/>
              </w:rPr>
            </w:r>
            <w:r>
              <w:rPr>
                <w:b w:val="0"/>
                <w:i w:val="0"/>
                <w:sz w:val="18"/>
              </w:rPr>
              <w:t>Decreased (strongly)</w:t>
            </w:r>
          </w:p>
        </w:tc>
        <w:tc>
          <w:tcPr>
            <w:tcW w:type="dxa" w:w="2909"/>
          </w:tcPr>
          <w:p>
            <w:pPr>
              <w:spacing w:after="40"/>
            </w:pPr>
            <w:r>
              <w:rPr>
                <w:sz w:val="18"/>
              </w:rPr>
            </w:r>
            <w:r>
              <w:rPr>
                <w:b w:val="0"/>
                <w:i w:val="0"/>
                <w:sz w:val="18"/>
              </w:rPr>
              <w:t>Decreased</w:t>
            </w:r>
          </w:p>
        </w:tc>
        <w:tc>
          <w:tcPr>
            <w:tcW w:type="dxa" w:w="2909"/>
          </w:tcPr>
          <w:p>
            <w:pPr>
              <w:spacing w:after="40"/>
            </w:pPr>
            <w:r>
              <w:rPr>
                <w:sz w:val="18"/>
              </w:rPr>
            </w:r>
            <w:r>
              <w:rPr>
                <w:b w:val="0"/>
                <w:i w:val="0"/>
                <w:sz w:val="18"/>
              </w:rPr>
              <w:t>Decreased (strongly)</w:t>
            </w:r>
          </w:p>
        </w:tc>
      </w:tr>
      <w:tr>
        <w:tc>
          <w:tcPr>
            <w:tcW w:type="dxa" w:w="2909"/>
          </w:tcPr>
          <w:p>
            <w:pPr>
              <w:spacing w:after="40"/>
            </w:pPr>
            <w:r>
              <w:rPr>
                <w:sz w:val="18"/>
              </w:rPr>
            </w:r>
            <w:r>
              <w:rPr>
                <w:b/>
                <w:i w:val="0"/>
                <w:sz w:val="18"/>
              </w:rPr>
              <w:t>Dihydropyridine: nifedipine</w:t>
            </w:r>
          </w:p>
        </w:tc>
        <w:tc>
          <w:tcPr>
            <w:tcW w:type="dxa" w:w="2909"/>
          </w:tcPr>
          <w:p>
            <w:pPr>
              <w:spacing w:after="40"/>
            </w:pPr>
            <w:r>
              <w:rPr>
                <w:sz w:val="18"/>
              </w:rPr>
            </w:r>
            <w:r>
              <w:rPr>
                <w:b w:val="0"/>
                <w:i w:val="0"/>
                <w:sz w:val="18"/>
              </w:rPr>
              <w:t>++++ (most)</w:t>
            </w:r>
          </w:p>
        </w:tc>
        <w:tc>
          <w:tcPr>
            <w:tcW w:type="dxa" w:w="2909"/>
          </w:tcPr>
          <w:p>
            <w:pPr>
              <w:spacing w:after="40"/>
            </w:pPr>
            <w:r>
              <w:rPr>
                <w:sz w:val="18"/>
              </w:rPr>
            </w:r>
            <w:r>
              <w:rPr>
                <w:b w:val="0"/>
                <w:i w:val="0"/>
                <w:sz w:val="18"/>
              </w:rPr>
              <w:t>Decreased</w:t>
            </w:r>
          </w:p>
        </w:tc>
        <w:tc>
          <w:tcPr>
            <w:tcW w:type="dxa" w:w="2909"/>
          </w:tcPr>
          <w:p>
            <w:pPr>
              <w:spacing w:after="40"/>
            </w:pPr>
            <w:r>
              <w:rPr>
                <w:sz w:val="18"/>
              </w:rPr>
            </w:r>
            <w:r>
              <w:rPr>
                <w:b w:val="0"/>
                <w:i w:val="0"/>
                <w:sz w:val="18"/>
              </w:rPr>
              <w:t>Increased</w:t>
            </w:r>
          </w:p>
        </w:tc>
        <w:tc>
          <w:tcPr>
            <w:tcW w:type="dxa" w:w="2909"/>
          </w:tcPr>
          <w:p>
            <w:pPr>
              <w:spacing w:after="40"/>
            </w:pPr>
            <w:r>
              <w:rPr>
                <w:sz w:val="18"/>
              </w:rPr>
            </w:r>
            <w:r>
              <w:rPr>
                <w:b w:val="0"/>
                <w:i w:val="0"/>
                <w:sz w:val="18"/>
              </w:rPr>
              <w:t>Unchanged</w:t>
            </w:r>
          </w:p>
        </w:tc>
      </w:tr>
      <w:tr>
        <w:tc>
          <w:tcPr>
            <w:tcW w:type="dxa" w:w="2909"/>
          </w:tcPr>
          <w:p>
            <w:pPr>
              <w:spacing w:after="40"/>
            </w:pPr>
            <w:r>
              <w:rPr>
                <w:sz w:val="18"/>
              </w:rPr>
            </w:r>
            <w:r>
              <w:rPr>
                <w:b/>
                <w:i w:val="0"/>
                <w:sz w:val="18"/>
              </w:rPr>
              <w:t>Dihydropyridine: amlodipine</w:t>
            </w:r>
          </w:p>
        </w:tc>
        <w:tc>
          <w:tcPr>
            <w:tcW w:type="dxa" w:w="2909"/>
          </w:tcPr>
          <w:p>
            <w:pPr>
              <w:spacing w:after="40"/>
            </w:pPr>
            <w:r>
              <w:rPr>
                <w:sz w:val="18"/>
              </w:rPr>
            </w:r>
            <w:r>
              <w:rPr>
                <w:b w:val="0"/>
                <w:i w:val="0"/>
                <w:sz w:val="18"/>
              </w:rPr>
              <w:t>++++ (most)</w:t>
            </w:r>
          </w:p>
        </w:tc>
        <w:tc>
          <w:tcPr>
            <w:tcW w:type="dxa" w:w="2909"/>
          </w:tcPr>
          <w:p>
            <w:pPr>
              <w:spacing w:after="40"/>
            </w:pPr>
            <w:r>
              <w:rPr>
                <w:sz w:val="18"/>
              </w:rPr>
            </w:r>
            <w:r>
              <w:rPr>
                <w:b w:val="0"/>
                <w:i w:val="0"/>
                <w:sz w:val="18"/>
              </w:rPr>
              <w:t>Unchanged or decreased</w:t>
            </w:r>
          </w:p>
        </w:tc>
        <w:tc>
          <w:tcPr>
            <w:tcW w:type="dxa" w:w="2909"/>
          </w:tcPr>
          <w:p>
            <w:pPr>
              <w:spacing w:after="40"/>
            </w:pPr>
            <w:r>
              <w:rPr>
                <w:sz w:val="18"/>
              </w:rPr>
            </w:r>
            <w:r>
              <w:rPr>
                <w:b w:val="0"/>
                <w:i w:val="0"/>
                <w:sz w:val="18"/>
              </w:rPr>
              <w:t>Unchanged</w:t>
            </w:r>
          </w:p>
        </w:tc>
        <w:tc>
          <w:tcPr>
            <w:tcW w:type="dxa" w:w="2909"/>
          </w:tcPr>
          <w:p>
            <w:pPr>
              <w:spacing w:after="40"/>
            </w:pPr>
            <w:r>
              <w:rPr>
                <w:sz w:val="18"/>
              </w:rPr>
            </w:r>
            <w:r>
              <w:rPr>
                <w:b w:val="0"/>
                <w:i w:val="0"/>
                <w:sz w:val="18"/>
              </w:rPr>
              <w:t>Unchanged</w:t>
            </w:r>
          </w:p>
        </w:tc>
      </w:tr>
      <w:tr>
        <w:tc>
          <w:tcPr>
            <w:tcW w:type="dxa" w:w="2909"/>
          </w:tcPr>
          <w:p>
            <w:pPr>
              <w:spacing w:after="40"/>
            </w:pPr>
            <w:r>
              <w:rPr>
                <w:sz w:val="18"/>
              </w:rPr>
            </w:r>
            <w:r>
              <w:rPr>
                <w:b/>
                <w:i w:val="0"/>
                <w:sz w:val="18"/>
              </w:rPr>
              <w:t>Dihydropyridine: felodipine</w:t>
            </w:r>
          </w:p>
        </w:tc>
        <w:tc>
          <w:tcPr>
            <w:tcW w:type="dxa" w:w="2909"/>
          </w:tcPr>
          <w:p>
            <w:pPr>
              <w:spacing w:after="40"/>
            </w:pPr>
            <w:r>
              <w:rPr>
                <w:sz w:val="18"/>
              </w:rPr>
            </w:r>
            <w:r>
              <w:rPr>
                <w:b w:val="0"/>
                <w:i w:val="0"/>
                <w:sz w:val="18"/>
              </w:rPr>
              <w:t>++++ (most)</w:t>
            </w:r>
          </w:p>
        </w:tc>
        <w:tc>
          <w:tcPr>
            <w:tcW w:type="dxa" w:w="2909"/>
          </w:tcPr>
          <w:p>
            <w:pPr>
              <w:spacing w:after="40"/>
            </w:pPr>
            <w:r>
              <w:rPr>
                <w:sz w:val="18"/>
              </w:rPr>
            </w:r>
            <w:r>
              <w:rPr>
                <w:b w:val="0"/>
                <w:i w:val="0"/>
                <w:sz w:val="18"/>
              </w:rPr>
              <w:t>Unchanged or decreased</w:t>
            </w:r>
          </w:p>
        </w:tc>
        <w:tc>
          <w:tcPr>
            <w:tcW w:type="dxa" w:w="2909"/>
          </w:tcPr>
          <w:p>
            <w:pPr>
              <w:spacing w:after="40"/>
            </w:pPr>
            <w:r>
              <w:rPr>
                <w:sz w:val="18"/>
              </w:rPr>
            </w:r>
            <w:r>
              <w:rPr>
                <w:b w:val="0"/>
                <w:i w:val="0"/>
                <w:sz w:val="18"/>
              </w:rPr>
              <w:t>Increased</w:t>
            </w:r>
          </w:p>
        </w:tc>
        <w:tc>
          <w:tcPr>
            <w:tcW w:type="dxa" w:w="2909"/>
          </w:tcPr>
          <w:p>
            <w:pPr>
              <w:spacing w:after="40"/>
            </w:pPr>
            <w:r>
              <w:rPr>
                <w:sz w:val="18"/>
              </w:rPr>
            </w:r>
            <w:r>
              <w:rPr>
                <w:b w:val="0"/>
                <w:i w:val="0"/>
                <w:sz w:val="18"/>
              </w:rPr>
              <w:t>Unchanged</w:t>
            </w:r>
          </w:p>
        </w:tc>
      </w:tr>
    </w:tbl>
    <w:p>
      <w:pPr>
        <w:spacing w:after="80"/>
      </w:pPr>
    </w:p>
    <w:p>
      <w:pPr>
        <w:spacing w:after="120"/>
      </w:pPr>
      <w:r>
        <w:rPr>
          <w:b w:val="0"/>
          <w:i w:val="0"/>
        </w:rPr>
        <w:t xml:space="preserve">This is the deck’s calcium channel blocker table [slide 21]. The simple split: the </w:t>
      </w:r>
      <w:r>
        <w:rPr>
          <w:b/>
          <w:i w:val="0"/>
        </w:rPr>
        <w:t>non-dihydropyridines (diltiazem, verapamil) act on the heart</w:t>
      </w:r>
      <w:r>
        <w:rPr>
          <w:b w:val="0"/>
          <w:i w:val="0"/>
        </w:rPr>
        <w:t xml:space="preserve"> — rate, contractility and atrioventricular conduction — while the </w:t>
      </w:r>
      <w:r>
        <w:rPr>
          <w:b/>
          <w:i w:val="0"/>
        </w:rPr>
        <w:t>dihydropyridines (nifedipine, amlodipine, felodipine) act on the vessels</w:t>
      </w:r>
      <w:r>
        <w:rPr>
          <w:b w:val="0"/>
          <w:i w:val="0"/>
        </w:rPr>
        <w:t>, with the most vasodilation and no change in atrioventricular conduction. On slide 21 diltiazem and verapamil both decrease contractility strongly; verapamil has the larger effect on atrioventricular conduction. Among the dihydropyridines, nifedipine and felodipine raise the heart rate while amlodipine leaves it unchanged [slide 21].</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21:02 of the recording: </w:t>
            </w:r>
            <w:r>
              <w:rPr>
                <w:b w:val="0"/>
                <w:i/>
              </w:rPr>
              <w:t>“Here I want you to notice the major difference between the dihydropyridines and the non-dihydropyridine calcium channel blockers… if a patient could not get a beta blocker for one reason or another, you can basically sub that out for a non-DHP.”</w:t>
            </w:r>
          </w:p>
          <w:p>
            <w:pPr>
              <w:spacing w:after="120"/>
            </w:pPr>
            <w:r>
              <w:rPr>
                <w:b w:val="0"/>
                <w:i w:val="0"/>
              </w:rPr>
              <w:t xml:space="preserve">The </w:t>
            </w:r>
            <w:r>
              <w:rPr>
                <w:b w:val="0"/>
                <w:i w:val="0"/>
                <w:highlight w:val="yellow"/>
              </w:rPr>
              <w:t>non-dihydropyridines (verapamil, diltiazem)</w:t>
            </w:r>
            <w:r>
              <w:rPr>
                <w:b w:val="0"/>
                <w:i w:val="0"/>
              </w:rPr>
              <w:t xml:space="preserve"> act like a beta blocker on heart rate and contractility, so they are the substitute when a beta blocker cannot be used; the dihydropyridines (the -dipines) act on the vessels [slides 21 and 22].</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25:16 of the recording: </w:t>
            </w:r>
            <w:r>
              <w:rPr>
                <w:b w:val="0"/>
                <w:i/>
              </w:rPr>
              <w:t>“If I told you a patient was coming in, they were started on a beta blocker for anginal symptoms and they are complaining they just can’t tolerate it, they complain about having horrible nightmares, what would you want to switch to? That could be a situation which you can switch out for a non-DHP calcium channel blocker.”</w:t>
            </w:r>
          </w:p>
          <w:p>
            <w:pPr>
              <w:spacing w:after="120"/>
            </w:pPr>
            <w:r>
              <w:rPr>
                <w:b w:val="0"/>
                <w:i w:val="0"/>
              </w:rPr>
              <w:t xml:space="preserve">A patient started on a beta blocker for angina who cannot tolerate it because of nightmares (one of the listed adverse reactions [slide 19]) is switched to a </w:t>
            </w:r>
            <w:r>
              <w:rPr>
                <w:b w:val="0"/>
                <w:i w:val="0"/>
                <w:highlight w:val="yellow"/>
              </w:rPr>
              <w:t>non-dihydropyridine calcium channel blocker</w:t>
            </w:r>
            <w:r>
              <w:rPr>
                <w:b w:val="0"/>
                <w:i w:val="0"/>
              </w:rPr>
              <w:t xml:space="preserve"> [slide 22].</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22:35 of the recording: </w:t>
            </w:r>
            <w:r>
              <w:rPr>
                <w:b w:val="0"/>
                <w:i/>
              </w:rPr>
              <w:t>“For your typical anginal cases you would not want to use a DHP med by itself because of that increase in heart rate, you’re kind of fighting yourself… you wouldn’t really want to do a beta blocker plus a non-DHP because they’re just doing the same thing… bradycardia, heart block, it’s just more likely to occur.”</w:t>
            </w:r>
          </w:p>
          <w:p>
            <w:pPr>
              <w:spacing w:after="120"/>
            </w:pPr>
            <w:r>
              <w:rPr>
                <w:b w:val="0"/>
                <w:i w:val="0"/>
                <w:highlight w:val="yellow"/>
              </w:rPr>
              <w:t>Nifedipine and felodipine alone raise the heart rate</w:t>
            </w:r>
            <w:r>
              <w:rPr>
                <w:b w:val="0"/>
                <w:i w:val="0"/>
              </w:rPr>
              <w:t xml:space="preserve"> (amlodipine leaves it unchanged, slide 21), so a dihydropyridine is added to a beta blocker, which blunts that rise [slide 22]. </w:t>
            </w:r>
            <w:r>
              <w:rPr>
                <w:b w:val="0"/>
                <w:i w:val="0"/>
                <w:highlight w:val="yellow"/>
              </w:rPr>
              <w:t>A beta blocker plus verapamil or diltiazem is avoided</w:t>
            </w:r>
            <w:r>
              <w:rPr>
                <w:b w:val="0"/>
                <w:i w:val="0"/>
              </w:rPr>
              <w:t xml:space="preserve"> in most cases because of added bradycardia and heart block [slide 23].</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27:01 of the recording: </w:t>
            </w:r>
            <w:r>
              <w:rPr>
                <w:b w:val="0"/>
                <w:i/>
              </w:rPr>
              <w:t>“Keep in mind the LV dysfunction is going to be suppressed or is worsened with the use of a non-DHP calcium channel blocker, so the way I highlight here is DHPs only for that.”</w:t>
            </w:r>
          </w:p>
          <w:p>
            <w:pPr>
              <w:spacing w:after="120"/>
            </w:pPr>
            <w:r>
              <w:rPr>
                <w:b w:val="0"/>
                <w:i w:val="0"/>
              </w:rPr>
              <w:t xml:space="preserve">Reduced left ventricular function is a contraindication for the non-dihydropyridines; </w:t>
            </w:r>
            <w:r>
              <w:rPr>
                <w:b w:val="0"/>
                <w:i w:val="0"/>
                <w:highlight w:val="yellow"/>
              </w:rPr>
              <w:t>dihydropyridines only</w:t>
            </w:r>
            <w:r>
              <w:rPr>
                <w:b w:val="0"/>
                <w:i w:val="0"/>
              </w:rPr>
              <w:t xml:space="preserve"> [slides 22 and 23], and amlodipine is the one named [slide 34].</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27:19 of the recording: </w:t>
            </w:r>
            <w:r>
              <w:rPr>
                <w:b w:val="0"/>
                <w:i/>
              </w:rPr>
              <w:t>“Typically we avoid short-acting agents, agents like nifedipine, so if you can stick with something long-acting like amlodipine… you’re not going to get that yo-yo type of effect.”</w:t>
            </w:r>
          </w:p>
          <w:p>
            <w:pPr>
              <w:spacing w:after="120"/>
            </w:pPr>
            <w:r>
              <w:rPr>
                <w:b w:val="0"/>
                <w:i w:val="0"/>
                <w:highlight w:val="yellow"/>
              </w:rPr>
              <w:t>Avoid short-acting agents such as nifedipine</w:t>
            </w:r>
            <w:r>
              <w:rPr>
                <w:b w:val="0"/>
                <w:i w:val="0"/>
              </w:rPr>
              <w:t xml:space="preserve"> [slide 22]; a long-acting dihydropyridine such as amlodipine is the pattern to know.</w:t>
            </w:r>
          </w:p>
        </w:tc>
      </w:tr>
    </w:tbl>
    <w:p>
      <w:pPr>
        <w:spacing w:after="80"/>
      </w:pPr>
    </w:p>
    <w:p>
      <w:pPr>
        <w:pStyle w:val="Heading3"/>
        <w:spacing w:before="200" w:after="100"/>
      </w:pPr>
      <w:r>
        <w:rPr>
          <w:rFonts w:ascii="Georgia" w:hAnsi="Georgia"/>
          <w:color w:val="6B3524"/>
        </w:rPr>
        <w:t>Place in therapy and drug choice [slide 22]</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Question</w:t>
            </w:r>
          </w:p>
        </w:tc>
        <w:tc>
          <w:tcPr>
            <w:tcW w:type="dxa" w:w="7272"/>
            <w:shd w:val="clear" w:color="auto" w:fill="6B3524"/>
          </w:tcPr>
          <w:p>
            <w:pPr>
              <w:spacing w:after="40"/>
            </w:pPr>
            <w:r>
              <w:rPr>
                <w:b/>
                <w:color w:val="FFFFFF"/>
                <w:sz w:val="18"/>
              </w:rPr>
            </w:r>
            <w:r>
              <w:rPr>
                <w:b/>
                <w:i w:val="0"/>
                <w:color w:val="FFFFFF"/>
                <w:sz w:val="18"/>
              </w:rPr>
              <w:t>Answer</w:t>
            </w:r>
          </w:p>
        </w:tc>
      </w:tr>
      <w:tr>
        <w:tc>
          <w:tcPr>
            <w:tcW w:type="dxa" w:w="7272"/>
          </w:tcPr>
          <w:p>
            <w:pPr>
              <w:spacing w:after="40"/>
            </w:pPr>
            <w:r>
              <w:rPr>
                <w:sz w:val="18"/>
              </w:rPr>
            </w:r>
            <w:r>
              <w:rPr>
                <w:b w:val="0"/>
                <w:i w:val="0"/>
                <w:sz w:val="18"/>
              </w:rPr>
              <w:t>First choice when beta blockers are contraindicated or not tolerated</w:t>
            </w:r>
          </w:p>
        </w:tc>
        <w:tc>
          <w:tcPr>
            <w:tcW w:type="dxa" w:w="7272"/>
          </w:tcPr>
          <w:p>
            <w:pPr>
              <w:spacing w:after="40"/>
            </w:pPr>
            <w:r>
              <w:rPr>
                <w:sz w:val="18"/>
              </w:rPr>
            </w:r>
            <w:r>
              <w:rPr>
                <w:b w:val="0"/>
                <w:i w:val="0"/>
                <w:sz w:val="18"/>
              </w:rPr>
              <w:t xml:space="preserve">A </w:t>
            </w:r>
            <w:r>
              <w:rPr>
                <w:b/>
                <w:i w:val="0"/>
                <w:sz w:val="18"/>
              </w:rPr>
              <w:t>non-dihydropyridine</w:t>
            </w:r>
            <w:r>
              <w:rPr>
                <w:b w:val="0"/>
                <w:i w:val="0"/>
                <w:sz w:val="18"/>
              </w:rPr>
              <w:t>, as initial therapy to reduce symptoms</w:t>
            </w:r>
          </w:p>
        </w:tc>
      </w:tr>
      <w:tr>
        <w:tc>
          <w:tcPr>
            <w:tcW w:type="dxa" w:w="7272"/>
          </w:tcPr>
          <w:p>
            <w:pPr>
              <w:spacing w:after="40"/>
            </w:pPr>
            <w:r>
              <w:rPr>
                <w:sz w:val="18"/>
              </w:rPr>
            </w:r>
            <w:r>
              <w:rPr>
                <w:b w:val="0"/>
                <w:i w:val="0"/>
                <w:sz w:val="18"/>
              </w:rPr>
              <w:t>Added to a beta blocker when the beta blocker alone fails</w:t>
            </w:r>
          </w:p>
        </w:tc>
        <w:tc>
          <w:tcPr>
            <w:tcW w:type="dxa" w:w="7272"/>
          </w:tcPr>
          <w:p>
            <w:pPr>
              <w:spacing w:after="40"/>
            </w:pPr>
            <w:r>
              <w:rPr>
                <w:sz w:val="18"/>
              </w:rPr>
            </w:r>
            <w:r>
              <w:rPr>
                <w:b w:val="0"/>
                <w:i w:val="0"/>
                <w:sz w:val="18"/>
              </w:rPr>
              <w:t xml:space="preserve">A </w:t>
            </w:r>
            <w:r>
              <w:rPr>
                <w:b/>
                <w:i w:val="0"/>
                <w:sz w:val="18"/>
              </w:rPr>
              <w:t>dihydropyridine</w:t>
            </w:r>
          </w:p>
        </w:tc>
      </w:tr>
      <w:tr>
        <w:tc>
          <w:tcPr>
            <w:tcW w:type="dxa" w:w="7272"/>
          </w:tcPr>
          <w:p>
            <w:pPr>
              <w:spacing w:after="40"/>
            </w:pPr>
            <w:r>
              <w:rPr>
                <w:sz w:val="18"/>
              </w:rPr>
            </w:r>
            <w:r>
              <w:rPr>
                <w:b w:val="0"/>
                <w:i w:val="0"/>
                <w:sz w:val="18"/>
              </w:rPr>
              <w:t>Other pairing</w:t>
            </w:r>
          </w:p>
        </w:tc>
        <w:tc>
          <w:tcPr>
            <w:tcW w:type="dxa" w:w="7272"/>
          </w:tcPr>
          <w:p>
            <w:pPr>
              <w:spacing w:after="40"/>
            </w:pPr>
            <w:r>
              <w:rPr>
                <w:sz w:val="18"/>
              </w:rPr>
            </w:r>
            <w:r>
              <w:rPr>
                <w:b w:val="0"/>
                <w:i w:val="0"/>
                <w:sz w:val="18"/>
              </w:rPr>
              <w:t>In combination with long-acting nitrates</w:t>
            </w:r>
          </w:p>
        </w:tc>
      </w:tr>
      <w:tr>
        <w:tc>
          <w:tcPr>
            <w:tcW w:type="dxa" w:w="7272"/>
          </w:tcPr>
          <w:p>
            <w:pPr>
              <w:spacing w:after="40"/>
            </w:pPr>
            <w:r>
              <w:rPr>
                <w:sz w:val="18"/>
              </w:rPr>
            </w:r>
            <w:r>
              <w:rPr>
                <w:b w:val="0"/>
                <w:i w:val="0"/>
                <w:sz w:val="18"/>
              </w:rPr>
              <w:t>Populations where a calcium channel blocker suits</w:t>
            </w:r>
          </w:p>
        </w:tc>
        <w:tc>
          <w:tcPr>
            <w:tcW w:type="dxa" w:w="7272"/>
          </w:tcPr>
          <w:p>
            <w:pPr>
              <w:spacing w:after="40"/>
            </w:pPr>
            <w:r>
              <w:rPr>
                <w:sz w:val="18"/>
              </w:rPr>
            </w:r>
            <w:r>
              <w:rPr>
                <w:b w:val="0"/>
                <w:i w:val="0"/>
                <w:sz w:val="18"/>
              </w:rPr>
              <w:t>Contraindication or intolerance to beta blockers; vasospastic angina; severe peripheral vascular disease; asthma; uncontrolled diabetes; left ventricular dysfunction (dihydropyridines only)</w:t>
            </w:r>
          </w:p>
        </w:tc>
      </w:tr>
      <w:tr>
        <w:tc>
          <w:tcPr>
            <w:tcW w:type="dxa" w:w="7272"/>
          </w:tcPr>
          <w:p>
            <w:pPr>
              <w:spacing w:after="40"/>
            </w:pPr>
            <w:r>
              <w:rPr>
                <w:sz w:val="18"/>
              </w:rPr>
            </w:r>
            <w:r>
              <w:rPr>
                <w:b w:val="0"/>
                <w:i w:val="0"/>
                <w:sz w:val="18"/>
              </w:rPr>
              <w:t>Agents to avoid</w:t>
            </w:r>
          </w:p>
        </w:tc>
        <w:tc>
          <w:tcPr>
            <w:tcW w:type="dxa" w:w="7272"/>
          </w:tcPr>
          <w:p>
            <w:pPr>
              <w:spacing w:after="40"/>
            </w:pPr>
            <w:r>
              <w:rPr>
                <w:sz w:val="18"/>
              </w:rPr>
            </w:r>
            <w:r>
              <w:rPr>
                <w:b/>
                <w:i w:val="0"/>
                <w:sz w:val="18"/>
              </w:rPr>
              <w:t>Short-acting agents, for example short-acting nifedipine</w:t>
            </w:r>
          </w:p>
        </w:tc>
      </w:tr>
    </w:tbl>
    <w:p>
      <w:pPr>
        <w:spacing w:after="80"/>
      </w:pPr>
    </w:p>
    <w:p>
      <w:pPr>
        <w:spacing w:after="120"/>
      </w:pPr>
      <w:r>
        <w:rPr>
          <w:b/>
          <w:i w:val="0"/>
        </w:rPr>
        <w:t>The switch when a beta blocker is not tolerated:</w:t>
      </w:r>
      <w:r>
        <w:rPr>
          <w:b w:val="0"/>
          <w:i w:val="0"/>
        </w:rPr>
        <w:t xml:space="preserve"> a patient who cannot tolerate a beta blocker (for example because of nightmares and fatigue) and has no contraindication is switched to a non-dihydropyridine calcium channel blocker such as diltiazem or verapamil, the initial substitute [slides 19 and 22].</w:t>
      </w:r>
    </w:p>
    <w:p>
      <w:pPr>
        <w:spacing w:after="120"/>
      </w:pPr>
      <w:r>
        <w:rPr>
          <w:b w:val="0"/>
          <w:i w:val="0"/>
        </w:rPr>
        <w:t>The slide gives no reason for avoiding short-acting nifedipine, only the instruction to avoid short-acting agents.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Objective</w:t>
            </w:r>
          </w:p>
        </w:tc>
        <w:tc>
          <w:tcPr>
            <w:tcW w:type="dxa" w:w="7272"/>
            <w:shd w:val="clear" w:color="auto" w:fill="6B3524"/>
          </w:tcPr>
          <w:p>
            <w:pPr>
              <w:spacing w:after="40"/>
            </w:pPr>
            <w:r>
              <w:rPr>
                <w:b/>
                <w:color w:val="FFFFFF"/>
                <w:sz w:val="18"/>
              </w:rPr>
            </w:r>
            <w:r>
              <w:rPr>
                <w:b/>
                <w:i w:val="0"/>
                <w:color w:val="FFFFFF"/>
                <w:sz w:val="18"/>
              </w:rPr>
              <w:t>What the slides give for calcium channel blockers</w:t>
            </w:r>
          </w:p>
        </w:tc>
      </w:tr>
      <w:tr>
        <w:tc>
          <w:tcPr>
            <w:tcW w:type="dxa" w:w="7272"/>
          </w:tcPr>
          <w:p>
            <w:pPr>
              <w:spacing w:after="40"/>
            </w:pPr>
            <w:r>
              <w:rPr>
                <w:sz w:val="18"/>
              </w:rPr>
            </w:r>
            <w:r>
              <w:rPr>
                <w:b/>
                <w:i w:val="0"/>
                <w:sz w:val="18"/>
              </w:rPr>
              <w:t>7 · Contraindications</w:t>
            </w:r>
          </w:p>
        </w:tc>
        <w:tc>
          <w:tcPr>
            <w:tcW w:type="dxa" w:w="7272"/>
          </w:tcPr>
          <w:p>
            <w:pPr>
              <w:spacing w:after="40"/>
            </w:pPr>
            <w:r>
              <w:rPr>
                <w:sz w:val="18"/>
              </w:rPr>
            </w:r>
            <w:r>
              <w:rPr>
                <w:b/>
                <w:i w:val="0"/>
                <w:sz w:val="18"/>
              </w:rPr>
              <w:t>Systolic blood pressure below 100 mmHg; heart rate below 60 beats per minute (non-dihydropyridines); acute heart failure (non-dihydropyridines); ejection fraction below 40 percent (non-dihydropyridines); atrioventricular block</w:t>
            </w:r>
            <w:r>
              <w:rPr>
                <w:b w:val="0"/>
                <w:i w:val="0"/>
                <w:sz w:val="18"/>
              </w:rPr>
              <w:t xml:space="preserve"> [slide 23]</w:t>
            </w:r>
          </w:p>
        </w:tc>
      </w:tr>
      <w:tr>
        <w:tc>
          <w:tcPr>
            <w:tcW w:type="dxa" w:w="7272"/>
          </w:tcPr>
          <w:p>
            <w:pPr>
              <w:spacing w:after="40"/>
            </w:pPr>
            <w:r>
              <w:rPr>
                <w:sz w:val="18"/>
              </w:rPr>
            </w:r>
            <w:r>
              <w:rPr>
                <w:b/>
                <w:i w:val="0"/>
                <w:sz w:val="18"/>
              </w:rPr>
              <w:t>7 · Precautions</w:t>
            </w:r>
          </w:p>
        </w:tc>
        <w:tc>
          <w:tcPr>
            <w:tcW w:type="dxa" w:w="7272"/>
          </w:tcPr>
          <w:p>
            <w:pPr>
              <w:spacing w:after="40"/>
            </w:pPr>
            <w:r>
              <w:rPr>
                <w:sz w:val="18"/>
              </w:rPr>
            </w:r>
            <w:r>
              <w:rPr>
                <w:b w:val="0"/>
                <w:i w:val="0"/>
                <w:sz w:val="18"/>
              </w:rPr>
              <w:t>Concurrent beta blocker use (non-dihydropyridines); CYP3A4 (cytochrome P450 3A4) interactions [slide 23]</w:t>
            </w:r>
          </w:p>
        </w:tc>
      </w:tr>
      <w:tr>
        <w:tc>
          <w:tcPr>
            <w:tcW w:type="dxa" w:w="7272"/>
          </w:tcPr>
          <w:p>
            <w:pPr>
              <w:spacing w:after="40"/>
            </w:pPr>
            <w:r>
              <w:rPr>
                <w:sz w:val="18"/>
              </w:rPr>
            </w:r>
            <w:r>
              <w:rPr>
                <w:b/>
                <w:i w:val="0"/>
                <w:sz w:val="18"/>
              </w:rPr>
              <w:t>5–6 · Side effects and adverse effects</w:t>
            </w:r>
          </w:p>
        </w:tc>
        <w:tc>
          <w:tcPr>
            <w:tcW w:type="dxa" w:w="7272"/>
          </w:tcPr>
          <w:p>
            <w:pPr>
              <w:spacing w:after="40"/>
            </w:pPr>
            <w:r>
              <w:rPr>
                <w:sz w:val="18"/>
              </w:rPr>
            </w:r>
            <w:r>
              <w:rPr>
                <w:b w:val="0"/>
                <w:i w:val="0"/>
                <w:sz w:val="18"/>
              </w:rPr>
              <w:t xml:space="preserve">Hypotension; with dihydropyridines, </w:t>
            </w:r>
            <w:r>
              <w:rPr>
                <w:b/>
                <w:i w:val="0"/>
                <w:sz w:val="18"/>
              </w:rPr>
              <w:t>headache, flushing and peripheral edema</w:t>
            </w:r>
            <w:r>
              <w:rPr>
                <w:b w:val="0"/>
                <w:i w:val="0"/>
                <w:sz w:val="18"/>
              </w:rPr>
              <w:t xml:space="preserve"> [slide 24]</w:t>
            </w:r>
          </w:p>
        </w:tc>
      </w:tr>
      <w:tr>
        <w:tc>
          <w:tcPr>
            <w:tcW w:type="dxa" w:w="7272"/>
          </w:tcPr>
          <w:p>
            <w:pPr>
              <w:spacing w:after="40"/>
            </w:pPr>
            <w:r>
              <w:rPr>
                <w:sz w:val="18"/>
              </w:rPr>
            </w:r>
            <w:r>
              <w:rPr>
                <w:b/>
                <w:i w:val="0"/>
                <w:sz w:val="18"/>
              </w:rPr>
              <w:t>4 · Metabolism</w:t>
            </w:r>
          </w:p>
        </w:tc>
        <w:tc>
          <w:tcPr>
            <w:tcW w:type="dxa" w:w="7272"/>
          </w:tcPr>
          <w:p>
            <w:pPr>
              <w:spacing w:after="40"/>
            </w:pPr>
            <w:r>
              <w:rPr>
                <w:sz w:val="18"/>
              </w:rPr>
            </w:r>
            <w:r>
              <w:rPr>
                <w:b w:val="0"/>
                <w:i w:val="0"/>
                <w:sz w:val="18"/>
              </w:rPr>
              <w:t>The slide names CYP3A4 interactions as a precaution, no other pharmacokinetics are given [slide 23]</w:t>
            </w:r>
          </w:p>
        </w:tc>
      </w:tr>
    </w:tbl>
    <w:p>
      <w:pPr>
        <w:spacing w:after="80"/>
      </w:pPr>
    </w:p>
    <w:p>
      <w:pPr>
        <w:spacing w:after="120"/>
      </w:pPr>
      <w:r>
        <w:rPr>
          <w:b w:val="0"/>
          <w:i w:val="0"/>
        </w:rPr>
        <w:t xml:space="preserve">Calcium channel blockers </w:t>
      </w:r>
      <w:r>
        <w:rPr>
          <w:b/>
          <w:i w:val="0"/>
        </w:rPr>
        <w:t>improve myocardial oxygen supply</w:t>
      </w:r>
      <w:r>
        <w:rPr>
          <w:b w:val="0"/>
          <w:i w:val="0"/>
        </w:rPr>
        <w:t xml:space="preserve"> by </w:t>
      </w:r>
      <w:r>
        <w:rPr>
          <w:b/>
          <w:i w:val="0"/>
        </w:rPr>
        <w:t>relief of coronary vasospasm</w:t>
      </w:r>
      <w:r>
        <w:rPr>
          <w:b w:val="0"/>
          <w:i w:val="0"/>
        </w:rPr>
        <w:t xml:space="preserve"> and by mild dilation in areas of fixed stenosis, and they also lower demand [slide 20]. </w:t>
      </w:r>
      <w:r>
        <w:rPr>
          <w:b/>
          <w:i w:val="0"/>
        </w:rPr>
        <w:t>Headache, flushing and peripheral edema (ankle swelling) are the typical effects of a dihydropyridine</w:t>
      </w:r>
      <w:r>
        <w:rPr>
          <w:b w:val="0"/>
          <w:i w:val="0"/>
        </w:rPr>
        <w:t xml:space="preserve"> [slide 24]; </w:t>
      </w:r>
      <w:r>
        <w:rPr>
          <w:b/>
          <w:i w:val="0"/>
        </w:rPr>
        <w:t>nitrates share headache and flushing</w:t>
      </w:r>
      <w:r>
        <w:rPr>
          <w:b w:val="0"/>
          <w:i w:val="0"/>
        </w:rPr>
        <w:t xml:space="preserve"> with the dihydropyridines [slide 31].</w:t>
      </w:r>
    </w:p>
    <w:p>
      <w:pPr>
        <w:spacing w:after="120"/>
      </w:pPr>
      <w:r>
        <w:rPr>
          <w:b/>
          <w:i w:val="0"/>
        </w:rPr>
        <w:t>Verapamil and diltiazem lower heart rate and slow atrioventricular conduction</w:t>
      </w:r>
      <w:r>
        <w:rPr>
          <w:b w:val="0"/>
          <w:i w:val="0"/>
        </w:rPr>
        <w:t xml:space="preserve"> [slide 21]; beta blockers also lower heart rate [slide 16]. Read together with slide 23, which lists concurrent beta blocker use as a precaution for non-dihydropyridines, combining verapamil or diltiazem with a beta blocker calls for caution because the effects are additive: </w:t>
      </w:r>
      <w:r>
        <w:rPr>
          <w:b/>
          <w:i w:val="0"/>
        </w:rPr>
        <w:t>additive bradycardia and conduction delay</w:t>
      </w:r>
      <w:r>
        <w:rPr>
          <w:b w:val="0"/>
          <w:i w:val="0"/>
        </w:rPr>
        <w:t>.</w:t>
      </w:r>
    </w:p>
    <w:p>
      <w:pPr>
        <w:spacing w:after="120"/>
      </w:pPr>
      <w:r>
        <w:rPr>
          <w:b/>
          <w:i w:val="0"/>
        </w:rPr>
        <w:t>CYP3A4 (cytochrome P450 3A4).</w:t>
      </w:r>
      <w:r>
        <w:rPr>
          <w:b w:val="0"/>
          <w:i w:val="0"/>
        </w:rPr>
        <w:t xml:space="preserve"> Verapamil and diltiazem, the non-dihydropyridines, </w:t>
      </w:r>
      <w:r>
        <w:rPr>
          <w:b/>
          <w:i w:val="0"/>
        </w:rPr>
        <w:t>inhibit CYP3A4 and are also substrates of it</w:t>
      </w:r>
      <w:r>
        <w:rPr>
          <w:b w:val="0"/>
          <w:i w:val="0"/>
        </w:rPr>
        <w:t>; the dihydropyridines such as amlodipine are only substrates (section 3.4). Slide 23 lists CYP3A4 interactions as a precaution. The worked example crosses to the lipid section: simvastatin is a CYP3A4 substrate (section 4.2), so a patient on verapamil who is then given simvastatin has higher simvastatin levels. In plain terms: adding simvastatin to a patient taking verapamil raises simvastatin levels because verapamil inhibits cytochrome P450 3A4, which clears simvastatin, so the main risk is statin muscle and liver toxicity (the statin adverse effects are in section 4.2).</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28:02 of the recording: </w:t>
            </w:r>
            <w:r>
              <w:rPr>
                <w:b w:val="0"/>
                <w:i/>
              </w:rPr>
              <w:t>“If you don’t know any other CYP enzyme, know CYP3A4, please, that’s my only ask… the non-DHPs are both inhibitors of CYP3A4 and substrates… the DHPs like amlodipine are just substrates… a patient on verapamil and then you put them on simvastatin… now all of a sudden you’re jacking your simvastatin levels up.”</w:t>
            </w:r>
          </w:p>
          <w:p>
            <w:pPr>
              <w:spacing w:after="120"/>
            </w:pPr>
            <w:r>
              <w:rPr>
                <w:b w:val="0"/>
                <w:i w:val="0"/>
                <w:highlight w:val="yellow"/>
              </w:rPr>
              <w:t>CYP3A4 is the one enzyme to know</w:t>
            </w:r>
            <w:r>
              <w:rPr>
                <w:b w:val="0"/>
                <w:i w:val="0"/>
              </w:rPr>
              <w:t>: non-dihydropyridines inhibit it and are substrates, dihydropyridines are only substrates, and verapamil with simvastatin raises the simvastatin level [slide 23; Antihypertensives slides 47, 48 and 54; sections 3.4 and 4.2].</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Deck versus truth — atrioventricular block.</w:t>
            </w:r>
            <w:r>
              <w:rPr>
                <w:b w:val="0"/>
                <w:i w:val="0"/>
              </w:rPr>
              <w:t xml:space="preserve"> Slide 23 lists atrioventricular block as a calcium channel blocker contraindication without saying which subclass. It is the </w:t>
            </w:r>
            <w:r>
              <w:rPr>
                <w:b/>
                <w:i w:val="0"/>
              </w:rPr>
              <w:t>non-dihydropyridines</w:t>
            </w:r>
            <w:r>
              <w:rPr>
                <w:b w:val="0"/>
                <w:i w:val="0"/>
              </w:rPr>
              <w:t xml:space="preserve"> that slow atrioventricular conduction (slide 21 shows no effect for the dihydropyridines), and slide 34 names a dihydropyridine as first line when the patient has bradycardia or atrioventricular block. Read the contraindication as applying to diltiazem and verapamil.</w:t>
            </w:r>
          </w:p>
        </w:tc>
      </w:tr>
    </w:tbl>
    <w:p>
      <w:pPr>
        <w:spacing w:after="80"/>
      </w:pPr>
    </w:p>
    <w:p>
      <w:pPr>
        <w:spacing w:after="120"/>
      </w:pPr>
      <w:r>
        <w:rPr>
          <w:b/>
          <w:i w:val="0"/>
        </w:rPr>
        <w:t>Monitoring:</w:t>
      </w:r>
      <w:r>
        <w:rPr>
          <w:b w:val="0"/>
          <w:i w:val="0"/>
        </w:rPr>
        <w:t xml:space="preserve"> relief of symptoms, and heart rate for the non-dihydropyridines [slide 24]. </w:t>
      </w:r>
      <w:r>
        <w:rPr>
          <w:b/>
          <w:i w:val="0"/>
        </w:rPr>
        <w:t>Education:</w:t>
      </w:r>
      <w:r>
        <w:rPr>
          <w:b w:val="0"/>
          <w:i w:val="0"/>
        </w:rPr>
        <w:t xml:space="preserve"> dizziness and constipation [slide 24]. The pairing caution is the one to remember: concurrent beta blocker use is a precaution for the non-dihydropyridines [slide 23], and the dihydropyridine is the calcium channel blocker named for combining with a beta blocker [slide 22]. The interacting agents of the non-dihydropyridines (statins, digoxin and others) are in section 3.4.</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29:48 of the recording: </w:t>
            </w:r>
            <w:r>
              <w:rPr>
                <w:b w:val="0"/>
                <w:i/>
              </w:rPr>
              <w:t>“Ask your patients about their bowel habits… what happens when they’re sitting there straining on the toilet… let’s put a little strain on the heart too.”</w:t>
            </w:r>
          </w:p>
          <w:p>
            <w:pPr>
              <w:spacing w:after="120"/>
            </w:pPr>
            <w:r>
              <w:rPr>
                <w:b w:val="0"/>
                <w:i w:val="0"/>
              </w:rPr>
              <w:t xml:space="preserve">Education: </w:t>
            </w:r>
            <w:r>
              <w:rPr>
                <w:b w:val="0"/>
                <w:i w:val="0"/>
                <w:highlight w:val="yellow"/>
              </w:rPr>
              <w:t>dizziness and constipation</w:t>
            </w:r>
            <w:r>
              <w:rPr>
                <w:b w:val="0"/>
                <w:i w:val="0"/>
              </w:rPr>
              <w:t xml:space="preserve"> [slide 24]. He added why constipation matters in a cardiac patient: straining puts a strain on the heart.</w:t>
            </w:r>
          </w:p>
        </w:tc>
      </w:tr>
    </w:tbl>
    <w:p>
      <w:pPr>
        <w:spacing w:after="80"/>
      </w:pPr>
    </w:p>
    <w:p>
      <w:pPr>
        <w:pStyle w:val="Heading2"/>
        <w:spacing w:before="200" w:after="100"/>
      </w:pPr>
      <w:r>
        <w:rPr>
          <w:rFonts w:ascii="Georgia" w:hAnsi="Georgia"/>
          <w:color w:val="6B3524"/>
        </w:rPr>
        <w:t>5.4 · Objectives 1–7 — Nitrates</w:t>
      </w:r>
    </w:p>
    <w:p>
      <w:pPr>
        <w:spacing w:after="120"/>
      </w:pPr>
      <w:r>
        <w:rPr>
          <w:b w:val="0"/>
          <w:i w:val="0"/>
        </w:rPr>
        <w:t>Also tested</w:t>
      </w:r>
    </w:p>
    <w:p>
      <w:pPr>
        <w:pStyle w:val="ListBullet"/>
        <w:spacing w:after="40"/>
      </w:pPr>
      <w:r>
        <w:rPr>
          <w:b/>
          <w:i w:val="0"/>
          <w:sz w:val="20"/>
        </w:rPr>
        <w:t>Warn patients starting a nitrate about dizziness when standing up.</w:t>
      </w:r>
      <w:r>
        <w:rPr>
          <w:b w:val="0"/>
          <w:i w:val="0"/>
          <w:sz w:val="20"/>
        </w:rPr>
        <w:t xml:space="preserve"> Nitrates cause orthostatic hypotension, so patients are warned about light-headedness on standing.</w:t>
      </w:r>
    </w:p>
    <w:p>
      <w:pPr>
        <w:pStyle w:val="ListBullet"/>
        <w:spacing w:after="40"/>
      </w:pPr>
      <w:r>
        <w:rPr>
          <w:b/>
          <w:i w:val="0"/>
          <w:sz w:val="20"/>
        </w:rPr>
        <w:t>Replace opened nitroglycerin tablets.</w:t>
      </w:r>
      <w:r>
        <w:rPr>
          <w:b w:val="0"/>
          <w:i w:val="0"/>
          <w:sz w:val="20"/>
        </w:rPr>
        <w:t xml:space="preserve"> The traditional counseling is to replace opened tablets about every 3 to 6 months so that a potent tablet is ready in an emergency. Current labeling ties expiry to the printed date when the tablets stay in the tightly closed original glass bottle.</w:t>
      </w:r>
    </w:p>
    <w:p>
      <w:pPr>
        <w:pStyle w:val="ListBullet"/>
        <w:spacing w:after="40"/>
      </w:pPr>
      <w:r>
        <w:rPr>
          <w:b/>
          <w:i w:val="0"/>
          <w:sz w:val="20"/>
        </w:rPr>
        <w:t>Opened nitroglycerin tablets are replaced on a schedule because the drug degrades.</w:t>
      </w:r>
      <w:r>
        <w:rPr>
          <w:b w:val="0"/>
          <w:i w:val="0"/>
          <w:sz w:val="20"/>
        </w:rPr>
        <w:t xml:space="preserve"> Nitroglycerin is unstable, and exposure to light or moisture breaks it down so it may not work when needed; that is the reason for the traditional 3 to 6 month replacement and for keeping the tablets in the original container.</w:t>
      </w:r>
    </w:p>
    <w:p>
      <w:pPr>
        <w:pStyle w:val="Heading3"/>
        <w:spacing w:before="200" w:after="100"/>
      </w:pPr>
      <w:r>
        <w:rPr>
          <w:rFonts w:ascii="Georgia" w:hAnsi="Georgia"/>
          <w:color w:val="6B3524"/>
        </w:rPr>
        <w:t>Mechanism (Objective 2) [slide 26]</w:t>
      </w:r>
    </w:p>
    <w:p>
      <w:pPr>
        <w:pStyle w:val="ListNumber"/>
        <w:spacing w:after="40"/>
      </w:pPr>
      <w:r>
        <w:rPr>
          <w:b w:val="0"/>
          <w:i w:val="0"/>
          <w:sz w:val="20"/>
        </w:rPr>
        <w:t xml:space="preserve">Nitrates supply </w:t>
      </w:r>
      <w:r>
        <w:rPr>
          <w:b/>
          <w:i w:val="0"/>
          <w:sz w:val="20"/>
        </w:rPr>
        <w:t>nitric oxide</w:t>
      </w:r>
      <w:r>
        <w:rPr>
          <w:b w:val="0"/>
          <w:i w:val="0"/>
          <w:sz w:val="20"/>
        </w:rPr>
        <w:t>.</w:t>
      </w:r>
    </w:p>
    <w:p>
      <w:pPr>
        <w:pStyle w:val="ListNumber"/>
        <w:spacing w:after="40"/>
      </w:pPr>
      <w:r>
        <w:rPr>
          <w:b w:val="0"/>
          <w:i w:val="0"/>
          <w:sz w:val="20"/>
        </w:rPr>
        <w:t xml:space="preserve">Nitric oxide stimulates the conversion of guanosine triphosphate to </w:t>
      </w:r>
      <w:r>
        <w:rPr>
          <w:b/>
          <w:i w:val="0"/>
          <w:sz w:val="20"/>
        </w:rPr>
        <w:t>cyclic guanosine monophosphate</w:t>
      </w:r>
      <w:r>
        <w:rPr>
          <w:b w:val="0"/>
          <w:i w:val="0"/>
          <w:sz w:val="20"/>
        </w:rPr>
        <w:t>.</w:t>
      </w:r>
    </w:p>
    <w:p>
      <w:pPr>
        <w:pStyle w:val="ListNumber"/>
        <w:spacing w:after="40"/>
      </w:pPr>
      <w:r>
        <w:rPr>
          <w:b w:val="0"/>
          <w:i w:val="0"/>
          <w:sz w:val="20"/>
        </w:rPr>
        <w:t xml:space="preserve">Cyclic guanosine monophosphate activates protein kinase G, which </w:t>
      </w:r>
      <w:r>
        <w:rPr>
          <w:b/>
          <w:i w:val="0"/>
          <w:sz w:val="20"/>
        </w:rPr>
        <w:t>lowers cytosolic calcium</w:t>
      </w:r>
      <w:r>
        <w:rPr>
          <w:b w:val="0"/>
          <w:i w:val="0"/>
          <w:sz w:val="20"/>
        </w:rPr>
        <w:t>.</w:t>
      </w:r>
    </w:p>
    <w:p>
      <w:pPr>
        <w:pStyle w:val="ListNumber"/>
        <w:spacing w:after="40"/>
      </w:pPr>
      <w:r>
        <w:rPr>
          <w:b w:val="0"/>
          <w:i w:val="0"/>
          <w:sz w:val="20"/>
        </w:rPr>
        <w:t xml:space="preserve">Lower calcium gives </w:t>
      </w:r>
      <w:r>
        <w:rPr>
          <w:b/>
          <w:i w:val="0"/>
          <w:sz w:val="20"/>
        </w:rPr>
        <w:t>smooth muscle relaxation, vasodilation and lower blood pressure</w:t>
      </w:r>
      <w:r>
        <w:rPr>
          <w:b w:val="0"/>
          <w:i w:val="0"/>
          <w:sz w:val="20"/>
        </w:rPr>
        <w:t>.</w:t>
      </w:r>
    </w:p>
    <w:p>
      <w:pPr>
        <w:pStyle w:val="ListNumber"/>
        <w:spacing w:after="40"/>
      </w:pPr>
      <w:r>
        <w:rPr>
          <w:b/>
          <w:i w:val="0"/>
          <w:sz w:val="20"/>
        </w:rPr>
        <w:t>Phosphodiesterase type 5 breaks cyclic guanosine monophosphate down</w:t>
      </w:r>
      <w:r>
        <w:rPr>
          <w:b w:val="0"/>
          <w:i w:val="0"/>
          <w:sz w:val="20"/>
        </w:rPr>
        <w:t xml:space="preserve"> to inactive guanosine monophosphate.</w:t>
      </w:r>
    </w:p>
    <w:p>
      <w:pPr>
        <w:pStyle w:val="ListNumber"/>
        <w:spacing w:after="40"/>
      </w:pPr>
      <w:r>
        <w:rPr>
          <w:b/>
          <w:i w:val="0"/>
          <w:sz w:val="20"/>
        </w:rPr>
        <w:t>Sildenafil, tadalafil and vardenafil inhibit phosphodiesterase type 5</w:t>
      </w:r>
      <w:r>
        <w:rPr>
          <w:b w:val="0"/>
          <w:i w:val="0"/>
          <w:sz w:val="20"/>
        </w:rPr>
        <w:t>, so cyclic guanosine monophosphate builds up. Together with a nitrate this is the drug interaction the slide shows.</w:t>
      </w:r>
    </w:p>
    <w:p>
      <w:pPr>
        <w:spacing w:after="120"/>
      </w:pPr>
      <w:r>
        <w:rPr>
          <w:b w:val="0"/>
          <w:i w:val="0"/>
        </w:rPr>
        <w:t xml:space="preserve">On the </w:t>
      </w:r>
      <w:r>
        <w:rPr>
          <w:b/>
          <w:i w:val="0"/>
        </w:rPr>
        <w:t>demand</w:t>
      </w:r>
      <w:r>
        <w:rPr>
          <w:b w:val="0"/>
          <w:i w:val="0"/>
        </w:rPr>
        <w:t xml:space="preserve"> side nitrates lower systolic blood pressure and, most strongly, left ventricular volume, while the heart rate rises [slide 25]. On the </w:t>
      </w:r>
      <w:r>
        <w:rPr>
          <w:b/>
          <w:i w:val="0"/>
        </w:rPr>
        <w:t>supply</w:t>
      </w:r>
      <w:r>
        <w:rPr>
          <w:b w:val="0"/>
          <w:i w:val="0"/>
        </w:rPr>
        <w:t xml:space="preserve"> side they dilate the coronary arteries, relieve vasospasm and have antithrombotic and antiplatelet effects [slide 25].</w:t>
      </w:r>
    </w:p>
    <w:p>
      <w:pPr>
        <w:pStyle w:val="Heading3"/>
        <w:spacing w:before="200" w:after="100"/>
      </w:pPr>
      <w:r>
        <w:rPr>
          <w:rFonts w:ascii="Georgia" w:hAnsi="Georgia"/>
          <w:color w:val="6B3524"/>
        </w:rPr>
        <w:t>Short-acting nitrates [slides 27 and 28]</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Topic</w:t>
            </w:r>
          </w:p>
        </w:tc>
        <w:tc>
          <w:tcPr>
            <w:tcW w:type="dxa" w:w="7272"/>
            <w:shd w:val="clear" w:color="auto" w:fill="6B3524"/>
          </w:tcPr>
          <w:p>
            <w:pPr>
              <w:spacing w:after="40"/>
            </w:pPr>
            <w:r>
              <w:rPr>
                <w:b/>
                <w:color w:val="FFFFFF"/>
                <w:sz w:val="18"/>
              </w:rPr>
            </w:r>
            <w:r>
              <w:rPr>
                <w:b/>
                <w:i w:val="0"/>
                <w:color w:val="FFFFFF"/>
                <w:sz w:val="18"/>
              </w:rPr>
              <w:t>What the slides say</w:t>
            </w:r>
          </w:p>
        </w:tc>
      </w:tr>
      <w:tr>
        <w:tc>
          <w:tcPr>
            <w:tcW w:type="dxa" w:w="7272"/>
          </w:tcPr>
          <w:p>
            <w:pPr>
              <w:spacing w:after="40"/>
            </w:pPr>
            <w:r>
              <w:rPr>
                <w:sz w:val="18"/>
              </w:rPr>
            </w:r>
            <w:r>
              <w:rPr>
                <w:b w:val="0"/>
                <w:i w:val="0"/>
                <w:sz w:val="18"/>
              </w:rPr>
              <w:t>Goals of therapy</w:t>
            </w:r>
          </w:p>
        </w:tc>
        <w:tc>
          <w:tcPr>
            <w:tcW w:type="dxa" w:w="7272"/>
          </w:tcPr>
          <w:p>
            <w:pPr>
              <w:spacing w:after="40"/>
            </w:pPr>
            <w:r>
              <w:rPr>
                <w:sz w:val="18"/>
              </w:rPr>
            </w:r>
            <w:r>
              <w:rPr>
                <w:b/>
                <w:i w:val="0"/>
                <w:sz w:val="18"/>
              </w:rPr>
              <w:t>Relieve acute symptoms of myocardial ischemia and prevent effort-induced angina</w:t>
            </w:r>
            <w:r>
              <w:rPr>
                <w:b w:val="0"/>
                <w:i w:val="0"/>
                <w:sz w:val="18"/>
              </w:rPr>
              <w:t xml:space="preserve"> [slide 27]</w:t>
            </w:r>
          </w:p>
        </w:tc>
      </w:tr>
      <w:tr>
        <w:tc>
          <w:tcPr>
            <w:tcW w:type="dxa" w:w="7272"/>
          </w:tcPr>
          <w:p>
            <w:pPr>
              <w:spacing w:after="40"/>
            </w:pPr>
            <w:r>
              <w:rPr>
                <w:sz w:val="18"/>
              </w:rPr>
            </w:r>
            <w:r>
              <w:rPr>
                <w:b w:val="0"/>
                <w:i w:val="0"/>
                <w:sz w:val="18"/>
              </w:rPr>
              <w:t>Forms pictured</w:t>
            </w:r>
          </w:p>
        </w:tc>
        <w:tc>
          <w:tcPr>
            <w:tcW w:type="dxa" w:w="7272"/>
          </w:tcPr>
          <w:p>
            <w:pPr>
              <w:spacing w:after="40"/>
            </w:pPr>
            <w:r>
              <w:rPr>
                <w:sz w:val="18"/>
              </w:rPr>
            </w:r>
            <w:r>
              <w:rPr>
                <w:b w:val="0"/>
                <w:i w:val="0"/>
                <w:sz w:val="18"/>
              </w:rPr>
              <w:t>Nitroglycerin sublingual tablets (Nitrostat) and a nitroglycerin lingual spray (Nitrolingual Pumpspray) [slide 27]</w:t>
            </w:r>
          </w:p>
        </w:tc>
      </w:tr>
      <w:tr>
        <w:tc>
          <w:tcPr>
            <w:tcW w:type="dxa" w:w="7272"/>
          </w:tcPr>
          <w:p>
            <w:pPr>
              <w:spacing w:after="40"/>
            </w:pPr>
            <w:r>
              <w:rPr>
                <w:sz w:val="18"/>
              </w:rPr>
            </w:r>
            <w:r>
              <w:rPr>
                <w:b w:val="0"/>
                <w:i w:val="0"/>
                <w:sz w:val="18"/>
              </w:rPr>
              <w:t>Drug selection</w:t>
            </w:r>
          </w:p>
        </w:tc>
        <w:tc>
          <w:tcPr>
            <w:tcW w:type="dxa" w:w="7272"/>
          </w:tcPr>
          <w:p>
            <w:pPr>
              <w:spacing w:after="40"/>
            </w:pPr>
            <w:r>
              <w:rPr>
                <w:sz w:val="18"/>
              </w:rPr>
            </w:r>
            <w:r>
              <w:rPr>
                <w:b w:val="0"/>
                <w:i w:val="0"/>
                <w:sz w:val="18"/>
              </w:rPr>
              <w:t xml:space="preserve">Dosed every 5 minutes until relief or emergency medical services arrive (standard practice caps it at three doses in total; his words: keep dosing while waiting); </w:t>
            </w:r>
            <w:r>
              <w:rPr>
                <w:b/>
                <w:i w:val="0"/>
                <w:sz w:val="18"/>
              </w:rPr>
              <w:t>call emergency medical services if there is no relief 5 minutes after the first dose</w:t>
            </w:r>
            <w:r>
              <w:rPr>
                <w:b w:val="0"/>
                <w:i w:val="0"/>
                <w:sz w:val="18"/>
              </w:rPr>
              <w:t xml:space="preserve"> [slide 27]</w:t>
            </w:r>
          </w:p>
        </w:tc>
      </w:tr>
      <w:tr>
        <w:tc>
          <w:tcPr>
            <w:tcW w:type="dxa" w:w="7272"/>
          </w:tcPr>
          <w:p>
            <w:pPr>
              <w:spacing w:after="40"/>
            </w:pPr>
            <w:r>
              <w:rPr>
                <w:sz w:val="18"/>
              </w:rPr>
            </w:r>
            <w:r>
              <w:rPr>
                <w:b w:val="0"/>
                <w:i w:val="0"/>
                <w:sz w:val="18"/>
              </w:rPr>
              <w:t>Patient education</w:t>
            </w:r>
          </w:p>
        </w:tc>
        <w:tc>
          <w:tcPr>
            <w:tcW w:type="dxa" w:w="7272"/>
          </w:tcPr>
          <w:p>
            <w:pPr>
              <w:spacing w:after="40"/>
            </w:pPr>
            <w:r>
              <w:rPr>
                <w:sz w:val="18"/>
              </w:rPr>
            </w:r>
            <w:r>
              <w:rPr>
                <w:b w:val="0"/>
                <w:i w:val="0"/>
                <w:sz w:val="18"/>
              </w:rPr>
              <w:t xml:space="preserve">Warn about </w:t>
            </w:r>
            <w:r>
              <w:rPr>
                <w:b/>
                <w:i w:val="0"/>
                <w:sz w:val="18"/>
              </w:rPr>
              <w:t>orthostatic hypotension</w:t>
            </w:r>
            <w:r>
              <w:rPr>
                <w:b w:val="0"/>
                <w:i w:val="0"/>
                <w:sz w:val="18"/>
              </w:rPr>
              <w:t xml:space="preserve">; store in the original packaging in a cool, dry place; </w:t>
            </w:r>
            <w:r>
              <w:rPr>
                <w:b/>
                <w:i w:val="0"/>
                <w:sz w:val="18"/>
              </w:rPr>
              <w:t>replace the tablets 3 to 6 months after opening</w:t>
            </w:r>
            <w:r>
              <w:rPr>
                <w:b w:val="0"/>
                <w:i w:val="0"/>
                <w:sz w:val="18"/>
              </w:rPr>
              <w:t xml:space="preserve"> (the course rule; current labeling differs, see the note below); apply or spray under the tongue [slide 28]</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35:51 of the recording: </w:t>
            </w:r>
            <w:r>
              <w:rPr>
                <w:b w:val="0"/>
                <w:i/>
              </w:rPr>
              <w:t>“If I say a test question, which one of these is best for quick relief of myocardial… a quick relief of anginal symptoms, this is the answer. Okay, keep that in mind, highlight.”</w:t>
            </w:r>
          </w:p>
          <w:p>
            <w:pPr>
              <w:spacing w:after="120"/>
            </w:pPr>
            <w:r>
              <w:rPr>
                <w:b w:val="0"/>
                <w:i w:val="0"/>
                <w:highlight w:val="yellow"/>
              </w:rPr>
              <w:t>Short-acting nitroglycerin</w:t>
            </w:r>
            <w:r>
              <w:rPr>
                <w:b w:val="0"/>
                <w:i w:val="0"/>
              </w:rPr>
              <w:t xml:space="preserve"> (sublingual tablet or spray) is the quick-relief answer [slide 27]; beta blockers and calcium channel blockers prevent attacks.</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37:02 of the recording: </w:t>
            </w:r>
            <w:r>
              <w:rPr>
                <w:b w:val="0"/>
                <w:i/>
              </w:rPr>
              <w:t>“That’s why I say after five minutes if you don’t get the relief, call 911, okay, so you get one try and that’s it, but while waiting you can continue taking the doses every five minutes.”</w:t>
            </w:r>
          </w:p>
          <w:p>
            <w:pPr>
              <w:spacing w:after="120"/>
            </w:pPr>
            <w:r>
              <w:rPr>
                <w:b w:val="0"/>
                <w:i w:val="0"/>
              </w:rPr>
              <w:t xml:space="preserve">The patient takes the first dose; </w:t>
            </w:r>
            <w:r>
              <w:rPr>
                <w:b w:val="0"/>
                <w:i w:val="0"/>
                <w:highlight w:val="yellow"/>
              </w:rPr>
              <w:t>no relief after five minutes means call emergency services</w:t>
            </w:r>
            <w:r>
              <w:rPr>
                <w:b w:val="0"/>
                <w:i w:val="0"/>
              </w:rPr>
              <w:t>, and further doses can be taken while waiting [slide 27]. The action is the testable point.</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37:12 of the recording: </w:t>
            </w:r>
            <w:r>
              <w:rPr>
                <w:b w:val="0"/>
                <w:i/>
              </w:rPr>
              <w:t>“Orthostatic hypotension makes sense… store them in the original packaging, a cool dry place, don’t put them into your pill minder… and then we’ll say after opening it replace every three to six months or so… I say go ahead, yes, do replace it.”</w:t>
            </w:r>
          </w:p>
          <w:p>
            <w:pPr>
              <w:spacing w:after="120"/>
            </w:pPr>
            <w:r>
              <w:rPr>
                <w:b w:val="0"/>
                <w:i w:val="0"/>
              </w:rPr>
              <w:t xml:space="preserve">Warn about </w:t>
            </w:r>
            <w:r>
              <w:rPr>
                <w:b w:val="0"/>
                <w:i w:val="0"/>
                <w:highlight w:val="yellow"/>
              </w:rPr>
              <w:t>orthostatic hypotension</w:t>
            </w:r>
            <w:r>
              <w:rPr>
                <w:b w:val="0"/>
                <w:i w:val="0"/>
              </w:rPr>
              <w:t>; keep tablets in the original packaging in a cool, dry place; he teaches replacement every three to six months, which is the course rule to know (current labeling ties expiry to the original bottle, see the box below) [slide 28].</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five-minute rule is a safety protocol (Objective 9).</w:t>
            </w:r>
            <w:r>
              <w:rPr>
                <w:b w:val="0"/>
                <w:i w:val="0"/>
              </w:rPr>
              <w:t xml:space="preserve"> The action is the point: </w:t>
            </w:r>
            <w:r>
              <w:rPr>
                <w:b/>
                <w:i w:val="0"/>
              </w:rPr>
              <w:t>if chest pain is not relieved five minutes after the first dose, call emergency medical services rather than keep dosing alone</w:t>
            </w:r>
            <w:r>
              <w:rPr>
                <w:b w:val="0"/>
                <w:i w:val="0"/>
              </w:rPr>
              <w:t xml:space="preserve"> [slide 27]. The slide also says to dose every 5 minutes until relief or help arrives; the two lines agree once you read the second as “while help is on the way”. Standard practice caps it at three doses in total; his words: keep dosing while waiting.</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Course rule versus current practice — replacing the tablets.</w:t>
            </w:r>
            <w:r>
              <w:rPr>
                <w:b w:val="0"/>
                <w:i w:val="0"/>
              </w:rPr>
              <w:t xml:space="preserve"> Slide 28 and the recording say to </w:t>
            </w:r>
            <w:r>
              <w:rPr>
                <w:b/>
                <w:i w:val="0"/>
              </w:rPr>
              <w:t>replace nitroglycerin tablets 3 to 6 months after opening</w:t>
            </w:r>
            <w:r>
              <w:rPr>
                <w:b w:val="0"/>
                <w:i w:val="0"/>
              </w:rPr>
              <w:t xml:space="preserve"> (“go ahead, yes, do replace it”), because the drug is unstable and breaks down with light and moisture. </w:t>
            </w:r>
            <w:r>
              <w:rPr>
                <w:b/>
                <w:i w:val="0"/>
              </w:rPr>
              <w:t>Learn 3 to 6 months as the exam answer.</w:t>
            </w:r>
            <w:r>
              <w:rPr>
                <w:b w:val="0"/>
                <w:i w:val="0"/>
              </w:rPr>
              <w:t xml:space="preserve"> Current labeling is looser: it ties the expiry to the printed date when the tablets stay in the tightly closed original glass bottle, so a patient should still replace tablets sooner if they no longer work.</w:t>
            </w:r>
          </w:p>
        </w:tc>
      </w:tr>
    </w:tbl>
    <w:p>
      <w:pPr>
        <w:spacing w:after="80"/>
      </w:pPr>
    </w:p>
    <w:p>
      <w:pPr>
        <w:pStyle w:val="Heading3"/>
        <w:spacing w:before="200" w:after="100"/>
      </w:pPr>
      <w:r>
        <w:rPr>
          <w:rFonts w:ascii="Georgia" w:hAnsi="Georgia"/>
          <w:color w:val="6B3524"/>
        </w:rPr>
        <w:t>Long-acting nitrates [slides 29 to 31]</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Topic</w:t>
            </w:r>
          </w:p>
        </w:tc>
        <w:tc>
          <w:tcPr>
            <w:tcW w:type="dxa" w:w="7272"/>
            <w:shd w:val="clear" w:color="auto" w:fill="6B3524"/>
          </w:tcPr>
          <w:p>
            <w:pPr>
              <w:spacing w:after="40"/>
            </w:pPr>
            <w:r>
              <w:rPr>
                <w:b/>
                <w:color w:val="FFFFFF"/>
                <w:sz w:val="18"/>
              </w:rPr>
            </w:r>
            <w:r>
              <w:rPr>
                <w:b/>
                <w:i w:val="0"/>
                <w:color w:val="FFFFFF"/>
                <w:sz w:val="18"/>
              </w:rPr>
              <w:t>What the slides say</w:t>
            </w:r>
          </w:p>
        </w:tc>
      </w:tr>
      <w:tr>
        <w:tc>
          <w:tcPr>
            <w:tcW w:type="dxa" w:w="7272"/>
          </w:tcPr>
          <w:p>
            <w:pPr>
              <w:spacing w:after="40"/>
            </w:pPr>
            <w:r>
              <w:rPr>
                <w:sz w:val="18"/>
              </w:rPr>
            </w:r>
            <w:r>
              <w:rPr>
                <w:b w:val="0"/>
                <w:i w:val="0"/>
                <w:sz w:val="18"/>
              </w:rPr>
              <w:t>Place in therapy</w:t>
            </w:r>
          </w:p>
        </w:tc>
        <w:tc>
          <w:tcPr>
            <w:tcW w:type="dxa" w:w="7272"/>
          </w:tcPr>
          <w:p>
            <w:pPr>
              <w:spacing w:after="40"/>
            </w:pPr>
            <w:r>
              <w:rPr>
                <w:sz w:val="18"/>
              </w:rPr>
            </w:r>
            <w:r>
              <w:rPr>
                <w:b w:val="0"/>
                <w:i w:val="0"/>
                <w:sz w:val="18"/>
              </w:rPr>
              <w:t xml:space="preserve">Initial therapy to reduce symptoms </w:t>
            </w:r>
            <w:r>
              <w:rPr>
                <w:b/>
                <w:i w:val="0"/>
                <w:sz w:val="18"/>
              </w:rPr>
              <w:t>when beta blockers and calcium channel blockers are contraindicated or not tolerated</w:t>
            </w:r>
            <w:r>
              <w:rPr>
                <w:b w:val="0"/>
                <w:i w:val="0"/>
                <w:sz w:val="18"/>
              </w:rPr>
              <w:t>; or in combination with a beta blocker or calcium channel blocker when those are not successful [slide 29]</w:t>
            </w:r>
          </w:p>
        </w:tc>
      </w:tr>
      <w:tr>
        <w:tc>
          <w:tcPr>
            <w:tcW w:type="dxa" w:w="7272"/>
          </w:tcPr>
          <w:p>
            <w:pPr>
              <w:spacing w:after="40"/>
            </w:pPr>
            <w:r>
              <w:rPr>
                <w:sz w:val="18"/>
              </w:rPr>
            </w:r>
            <w:r>
              <w:rPr>
                <w:b w:val="0"/>
                <w:i w:val="0"/>
                <w:sz w:val="18"/>
              </w:rPr>
              <w:t>Use</w:t>
            </w:r>
          </w:p>
        </w:tc>
        <w:tc>
          <w:tcPr>
            <w:tcW w:type="dxa" w:w="7272"/>
          </w:tcPr>
          <w:p>
            <w:pPr>
              <w:spacing w:after="40"/>
            </w:pPr>
            <w:r>
              <w:rPr>
                <w:sz w:val="18"/>
              </w:rPr>
            </w:r>
            <w:r>
              <w:rPr>
                <w:b/>
                <w:i w:val="0"/>
                <w:sz w:val="18"/>
              </w:rPr>
              <w:t>Usually adjunctive therapy; not recommended as monotherapy</w:t>
            </w:r>
            <w:r>
              <w:rPr>
                <w:b w:val="0"/>
                <w:i w:val="0"/>
                <w:sz w:val="18"/>
              </w:rPr>
              <w:t xml:space="preserve"> [slide 29]. The two lines fit together this way: monotherapy is discouraged when a beta blocker or calcium channel blocker can be used, and a long-acting nitrate alone is accepted only when neither can be</w:t>
            </w:r>
          </w:p>
        </w:tc>
      </w:tr>
      <w:tr>
        <w:tc>
          <w:tcPr>
            <w:tcW w:type="dxa" w:w="7272"/>
          </w:tcPr>
          <w:p>
            <w:pPr>
              <w:spacing w:after="40"/>
            </w:pPr>
            <w:r>
              <w:rPr>
                <w:sz w:val="18"/>
              </w:rPr>
            </w:r>
            <w:r>
              <w:rPr>
                <w:b w:val="0"/>
                <w:i w:val="0"/>
                <w:sz w:val="18"/>
              </w:rPr>
              <w:t>Isosorbide mononitrate (Imdur)</w:t>
            </w:r>
          </w:p>
        </w:tc>
        <w:tc>
          <w:tcPr>
            <w:tcW w:type="dxa" w:w="7272"/>
          </w:tcPr>
          <w:p>
            <w:pPr>
              <w:spacing w:after="40"/>
            </w:pPr>
            <w:r>
              <w:rPr>
                <w:sz w:val="18"/>
              </w:rPr>
            </w:r>
            <w:r>
              <w:rPr>
                <w:b/>
                <w:i w:val="0"/>
                <w:sz w:val="18"/>
              </w:rPr>
              <w:t>Lasts 12 hours and is dosed daily</w:t>
            </w:r>
            <w:r>
              <w:rPr>
                <w:b w:val="0"/>
                <w:i w:val="0"/>
                <w:sz w:val="18"/>
              </w:rPr>
              <w:t xml:space="preserve"> [slide 30]</w:t>
            </w:r>
          </w:p>
        </w:tc>
      </w:tr>
      <w:tr>
        <w:tc>
          <w:tcPr>
            <w:tcW w:type="dxa" w:w="7272"/>
          </w:tcPr>
          <w:p>
            <w:pPr>
              <w:spacing w:after="40"/>
            </w:pPr>
            <w:r>
              <w:rPr>
                <w:sz w:val="18"/>
              </w:rPr>
            </w:r>
            <w:r>
              <w:rPr>
                <w:b w:val="0"/>
                <w:i w:val="0"/>
                <w:sz w:val="18"/>
              </w:rPr>
              <w:t>Isosorbide dinitrate</w:t>
            </w:r>
          </w:p>
        </w:tc>
        <w:tc>
          <w:tcPr>
            <w:tcW w:type="dxa" w:w="7272"/>
          </w:tcPr>
          <w:p>
            <w:pPr>
              <w:spacing w:after="40"/>
            </w:pPr>
            <w:r>
              <w:rPr>
                <w:sz w:val="18"/>
              </w:rPr>
            </w:r>
            <w:r>
              <w:rPr>
                <w:b/>
                <w:i w:val="0"/>
                <w:sz w:val="18"/>
              </w:rPr>
              <w:t>Duration 3 to 6 hours and dosed three times daily</w:t>
            </w:r>
            <w:r>
              <w:rPr>
                <w:b w:val="0"/>
                <w:i w:val="0"/>
                <w:sz w:val="18"/>
              </w:rPr>
              <w:t xml:space="preserve"> [slide 30]</w:t>
            </w:r>
          </w:p>
        </w:tc>
      </w:tr>
      <w:tr>
        <w:tc>
          <w:tcPr>
            <w:tcW w:type="dxa" w:w="7272"/>
          </w:tcPr>
          <w:p>
            <w:pPr>
              <w:spacing w:after="40"/>
            </w:pPr>
            <w:r>
              <w:rPr>
                <w:sz w:val="18"/>
              </w:rPr>
            </w:r>
            <w:r>
              <w:rPr>
                <w:b w:val="0"/>
                <w:i w:val="0"/>
                <w:sz w:val="18"/>
              </w:rPr>
              <w:t>Nitroglycerin ointment (Nitro-Bid)</w:t>
            </w:r>
          </w:p>
        </w:tc>
        <w:tc>
          <w:tcPr>
            <w:tcW w:type="dxa" w:w="7272"/>
          </w:tcPr>
          <w:p>
            <w:pPr>
              <w:spacing w:after="40"/>
            </w:pPr>
            <w:r>
              <w:rPr>
                <w:sz w:val="18"/>
              </w:rPr>
            </w:r>
            <w:r>
              <w:rPr>
                <w:b w:val="0"/>
                <w:i w:val="0"/>
                <w:sz w:val="18"/>
              </w:rPr>
              <w:t xml:space="preserve">Squeeze onto the calibrated applicator paper; spread in a thin 2-inch by 2-inch layer on the chest; keep covered with the applicator paper; </w:t>
            </w:r>
            <w:r>
              <w:rPr>
                <w:b/>
                <w:i w:val="0"/>
                <w:sz w:val="18"/>
              </w:rPr>
              <w:t>wipe off the previous dose before adding a new dose</w:t>
            </w:r>
            <w:r>
              <w:rPr>
                <w:b w:val="0"/>
                <w:i w:val="0"/>
                <w:sz w:val="18"/>
              </w:rPr>
              <w:t>; 12 hours on, 12 hours off [slide 31]</w:t>
            </w:r>
          </w:p>
        </w:tc>
      </w:tr>
      <w:tr>
        <w:tc>
          <w:tcPr>
            <w:tcW w:type="dxa" w:w="7272"/>
          </w:tcPr>
          <w:p>
            <w:pPr>
              <w:spacing w:after="40"/>
            </w:pPr>
            <w:r>
              <w:rPr>
                <w:sz w:val="18"/>
              </w:rPr>
            </w:r>
            <w:r>
              <w:rPr>
                <w:b w:val="0"/>
                <w:i w:val="0"/>
                <w:sz w:val="18"/>
              </w:rPr>
              <w:t>Transdermal patch</w:t>
            </w:r>
          </w:p>
        </w:tc>
        <w:tc>
          <w:tcPr>
            <w:tcW w:type="dxa" w:w="7272"/>
          </w:tcPr>
          <w:p>
            <w:pPr>
              <w:spacing w:after="40"/>
            </w:pPr>
            <w:r>
              <w:rPr>
                <w:sz w:val="18"/>
              </w:rPr>
            </w:r>
            <w:r>
              <w:rPr>
                <w:b/>
                <w:i w:val="0"/>
                <w:sz w:val="18"/>
              </w:rPr>
              <w:t>12 hours on, 12 hours off</w:t>
            </w:r>
            <w:r>
              <w:rPr>
                <w:b w:val="0"/>
                <w:i w:val="0"/>
                <w:sz w:val="18"/>
              </w:rPr>
              <w:t xml:space="preserve"> [slide 31]</w:t>
            </w:r>
          </w:p>
        </w:tc>
      </w:tr>
      <w:tr>
        <w:tc>
          <w:tcPr>
            <w:tcW w:type="dxa" w:w="7272"/>
          </w:tcPr>
          <w:p>
            <w:pPr>
              <w:spacing w:after="40"/>
            </w:pPr>
            <w:r>
              <w:rPr>
                <w:sz w:val="18"/>
              </w:rPr>
            </w:r>
            <w:r>
              <w:rPr>
                <w:b w:val="0"/>
                <w:i w:val="0"/>
                <w:sz w:val="18"/>
              </w:rPr>
              <w:t>Adverse reactions</w:t>
            </w:r>
          </w:p>
        </w:tc>
        <w:tc>
          <w:tcPr>
            <w:tcW w:type="dxa" w:w="7272"/>
          </w:tcPr>
          <w:p>
            <w:pPr>
              <w:spacing w:after="40"/>
            </w:pPr>
            <w:r>
              <w:rPr>
                <w:sz w:val="18"/>
              </w:rPr>
            </w:r>
            <w:r>
              <w:rPr>
                <w:b/>
                <w:i w:val="0"/>
                <w:sz w:val="18"/>
              </w:rPr>
              <w:t>Headache, flushing, postural hypotension and reflex tachycardia</w:t>
            </w:r>
            <w:r>
              <w:rPr>
                <w:b w:val="0"/>
                <w:i w:val="0"/>
                <w:sz w:val="18"/>
              </w:rPr>
              <w:t xml:space="preserve"> (a reflex rise in heart rate, compensating for the fall in pressure) [slide 31]</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39:19 of the recording: </w:t>
            </w:r>
            <w:r>
              <w:rPr>
                <w:b w:val="0"/>
                <w:i/>
              </w:rPr>
              <w:t>“This is usually like the third add-on medication in that list… usually adjunctive therapy, very rarely or not recommended as monotherapy.”</w:t>
            </w:r>
          </w:p>
          <w:p>
            <w:pPr>
              <w:spacing w:after="120"/>
            </w:pPr>
            <w:r>
              <w:rPr>
                <w:b w:val="0"/>
                <w:i w:val="0"/>
                <w:highlight w:val="yellow"/>
              </w:rPr>
              <w:t>Long-acting nitrates are usually the third add-on</w:t>
            </w:r>
            <w:r>
              <w:rPr>
                <w:b w:val="0"/>
                <w:i w:val="0"/>
              </w:rPr>
              <w:t>, after a beta blocker and a calcium channel blocker, and rarely or not recommended as monotherapy [slide 29].</w:t>
            </w:r>
          </w:p>
        </w:tc>
      </w:tr>
    </w:tbl>
    <w:p>
      <w:pPr>
        <w:spacing w:after="80"/>
      </w:pPr>
    </w:p>
    <w:p>
      <w:pPr>
        <w:pStyle w:val="Heading3"/>
        <w:spacing w:before="200" w:after="100"/>
      </w:pPr>
      <w:r>
        <w:rPr>
          <w:rFonts w:ascii="Georgia" w:hAnsi="Georgia"/>
          <w:color w:val="6B3524"/>
        </w:rPr>
        <w:t>Tachyphylaxis and the nitrate-free interval [slide 32]</w:t>
      </w:r>
    </w:p>
    <w:p>
      <w:pPr>
        <w:spacing w:after="120"/>
      </w:pPr>
      <w:r>
        <w:rPr>
          <w:b/>
          <w:i w:val="0"/>
        </w:rPr>
        <w:t>Tachyphylaxis</w:t>
      </w:r>
      <w:r>
        <w:rPr>
          <w:b w:val="0"/>
          <w:i w:val="0"/>
        </w:rPr>
        <w:t xml:space="preserve"> is the loss of effect with continued dosing; the slide lists it as a consideration with nitrates. Its mechanism is </w:t>
      </w:r>
      <w:r>
        <w:rPr>
          <w:b/>
          <w:i w:val="0"/>
        </w:rPr>
        <w:t>not fully understood</w:t>
      </w:r>
      <w:r>
        <w:rPr>
          <w:b w:val="0"/>
          <w:i w:val="0"/>
        </w:rPr>
        <w:t xml:space="preserve">. Proposed contributors are depletion of cofactors, stimulation of counter-regulatory responses (the renin-angiotensin system and the sympathetic nervous system), plasma volume expansion, and decreased enzyme activity. The management is a </w:t>
      </w:r>
      <w:r>
        <w:rPr>
          <w:b/>
          <w:i w:val="0"/>
        </w:rPr>
        <w:t>nitrate-free interval, placed when the patient has the lowest symptom frequency</w:t>
      </w:r>
      <w:r>
        <w:rPr>
          <w:b w:val="0"/>
          <w:i w:val="0"/>
        </w:rPr>
        <w:t>. That is why the ointment and the patch are worn 12 hours on and 12 hours off.</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42:42 of the recording: </w:t>
            </w:r>
            <w:r>
              <w:rPr>
                <w:b w:val="0"/>
                <w:i/>
              </w:rPr>
              <w:t>“Regardless, all you need to know is do the nitrate-free interval for 12 hours when the patient is least likely to have symptom frequency, usually when they’re asleep.”</w:t>
            </w:r>
          </w:p>
          <w:p>
            <w:pPr>
              <w:spacing w:after="120"/>
            </w:pPr>
            <w:r>
              <w:rPr>
                <w:b w:val="0"/>
                <w:i w:val="0"/>
              </w:rPr>
              <w:t xml:space="preserve">Tachyphylaxis is handled by </w:t>
            </w:r>
            <w:r>
              <w:rPr>
                <w:b w:val="0"/>
                <w:i w:val="0"/>
                <w:highlight w:val="yellow"/>
              </w:rPr>
              <w:t>12 hours on and 12 hours off</w:t>
            </w:r>
            <w:r>
              <w:rPr>
                <w:b w:val="0"/>
                <w:i w:val="0"/>
              </w:rPr>
              <w:t>, timed so the off period is when the patient is least likely to have chest pain, usually asleep [slide 32].</w:t>
            </w:r>
          </w:p>
        </w:tc>
      </w:tr>
    </w:tbl>
    <w:p>
      <w:pPr>
        <w:spacing w:after="80"/>
      </w:pPr>
    </w:p>
    <w:p>
      <w:pPr>
        <w:pStyle w:val="Heading3"/>
        <w:spacing w:before="200" w:after="100"/>
      </w:pPr>
      <w:r>
        <w:rPr>
          <w:rFonts w:ascii="Georgia" w:hAnsi="Georgia"/>
          <w:color w:val="6B3524"/>
        </w:rPr>
        <w:t>Absorption, distribution, metabolism and excretion (Objective 4)</w:t>
      </w:r>
    </w:p>
    <w:p>
      <w:pPr>
        <w:spacing w:after="120"/>
      </w:pPr>
      <w:r>
        <w:rPr>
          <w:b w:val="0"/>
          <w:i w:val="0"/>
        </w:rPr>
        <w:t>The slides give routes and durations only. Short-acting nitroglycerin is taken under the tongue as a tablet or a spray [slides 27 and 28]. Long-acting nitrates come as isosorbide mononitrate (12 hours) and isosorbide dinitrate (3 to 6 hours), and as nitroglycerin ointment and a transdermal patch worn 12 hours on and 12 hours off [slides 30 and 31]. In acute coronary syndrome the sublingual route is followed by an intravenous infusion in the hospital [slide 54]. No metabolism or excretion is given.</w:t>
      </w:r>
    </w:p>
    <w:p>
      <w:pPr>
        <w:spacing w:after="120"/>
      </w:pPr>
      <w:r>
        <w:rPr>
          <w:b/>
          <w:i w:val="0"/>
        </w:rPr>
        <w:t>Long-acting nitrates are usually used as add-on (adjunctive) therapy</w:t>
      </w:r>
      <w:r>
        <w:rPr>
          <w:b w:val="0"/>
          <w:i w:val="0"/>
        </w:rPr>
        <w:t xml:space="preserve">, added when a beta blocker or calcium channel blocker is not enough [slide 29]. </w:t>
      </w:r>
      <w:r>
        <w:rPr>
          <w:b/>
          <w:i w:val="0"/>
        </w:rPr>
        <w:t>Nitrates lower left ventricular volume the most of the three antianginal classes</w:t>
      </w:r>
      <w:r>
        <w:rPr>
          <w:b w:val="0"/>
          <w:i w:val="0"/>
        </w:rPr>
        <w:t xml:space="preserve">, which lowers wall tension, while the heart rate rises [slides 6 and 25]. </w:t>
      </w:r>
      <w:r>
        <w:rPr>
          <w:b/>
          <w:i w:val="0"/>
        </w:rPr>
        <w:t>Reflex tachycardia</w:t>
      </w:r>
      <w:r>
        <w:rPr>
          <w:b w:val="0"/>
          <w:i w:val="0"/>
        </w:rPr>
        <w:t xml:space="preserve"> is a nitrate adverse reaction, a reflex rise in heart rate that follows the fall in blood pressure; it is listed with headache, flushing and postural hypotension [slide 31]. </w:t>
      </w:r>
      <w:r>
        <w:rPr>
          <w:b/>
          <w:i w:val="0"/>
        </w:rPr>
        <w:t>In acute coronary syndrome, nitroglycerin and the other nitrates relieve chest pain but show no mortality benefit</w:t>
      </w:r>
      <w:r>
        <w:rPr>
          <w:b w:val="0"/>
          <w:i w:val="0"/>
        </w:rPr>
        <w:t>; they start sublingually and move to an intravenous infusion in hospital [slides 52 and 54].</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33:39 of the recording: </w:t>
            </w:r>
            <w:r>
              <w:rPr>
                <w:b w:val="0"/>
                <w:i/>
              </w:rPr>
              <w:t>“The problem comes when you do both of these together… that can lead to profound hypotension… if the answer is yes, you cannot give them a nitrate, because it will synergize, it’ll drop their blood pressure, they could die.”</w:t>
            </w:r>
          </w:p>
          <w:p>
            <w:pPr>
              <w:spacing w:after="120"/>
            </w:pPr>
            <w:r>
              <w:rPr>
                <w:b w:val="0"/>
                <w:i w:val="0"/>
              </w:rPr>
              <w:t xml:space="preserve">Sildenafil, tadalafil and vardenafil with any nitrate: </w:t>
            </w:r>
            <w:r>
              <w:rPr>
                <w:b w:val="0"/>
                <w:i w:val="0"/>
                <w:highlight w:val="yellow"/>
              </w:rPr>
              <w:t>contraindicated</w:t>
            </w:r>
            <w:r>
              <w:rPr>
                <w:b w:val="0"/>
                <w:i w:val="0"/>
              </w:rPr>
              <w:t>, with hypotension, myocardial infarction and stroke as the risk [slide 33]. He said the patient should be asked, bluntly if needed.</w:t>
            </w:r>
          </w:p>
        </w:tc>
      </w:tr>
    </w:tbl>
    <w:p>
      <w:pPr>
        <w:spacing w:after="80"/>
      </w:pPr>
    </w:p>
    <w:p>
      <w:pPr>
        <w:pStyle w:val="Heading3"/>
        <w:spacing w:before="200" w:after="100"/>
      </w:pPr>
      <w:r>
        <w:rPr>
          <w:rFonts w:ascii="Georgia" w:hAnsi="Georgia"/>
          <w:color w:val="6B3524"/>
        </w:rPr>
        <w:t>Contraindications (Objective 7) [slide 33]</w:t>
      </w:r>
    </w:p>
    <w:p>
      <w:pPr>
        <w:spacing w:after="120"/>
      </w:pPr>
      <w:r>
        <w:rPr>
          <w:b w:val="0"/>
          <w:i w:val="0"/>
        </w:rPr>
        <w:t xml:space="preserve">A nitrate, including nitroglycerin, is contraindicated in </w:t>
      </w:r>
      <w:r>
        <w:rPr>
          <w:b/>
          <w:i w:val="0"/>
        </w:rPr>
        <w:t>obstructive cardiomyopathy</w:t>
      </w:r>
      <w:r>
        <w:rPr>
          <w:b w:val="0"/>
          <w:i w:val="0"/>
        </w:rPr>
        <w:t xml:space="preserve">, in </w:t>
      </w:r>
      <w:r>
        <w:rPr>
          <w:b/>
          <w:i w:val="0"/>
        </w:rPr>
        <w:t>aortic valve stenosis</w:t>
      </w:r>
      <w:r>
        <w:rPr>
          <w:b w:val="0"/>
          <w:i w:val="0"/>
        </w:rPr>
        <w:t xml:space="preserve">, and with </w:t>
      </w:r>
      <w:r>
        <w:rPr>
          <w:b/>
          <w:i w:val="0"/>
        </w:rPr>
        <w:t>phosphodiesterase type 5 inhibitors</w:t>
      </w:r>
      <w:r>
        <w:rPr>
          <w:b w:val="0"/>
          <w:i w:val="0"/>
        </w:rPr>
        <w:t>.</w:t>
      </w:r>
    </w:p>
    <w:p>
      <w:pPr>
        <w:pStyle w:val="ListBullet"/>
        <w:spacing w:after="40"/>
      </w:pPr>
      <w:r>
        <w:rPr>
          <w:b/>
          <w:i w:val="0"/>
          <w:sz w:val="20"/>
        </w:rPr>
        <w:t>Aortic valve stenosis is a contraindication to nitrates.</w:t>
      </w:r>
    </w:p>
    <w:p>
      <w:pPr>
        <w:pStyle w:val="ListBullet"/>
        <w:spacing w:after="40"/>
      </w:pPr>
      <w:r>
        <w:rPr>
          <w:b/>
          <w:i w:val="0"/>
          <w:sz w:val="20"/>
        </w:rPr>
        <w:t>Obstructive cardiomyopathy is a contraindication to nitrates.</w:t>
      </w:r>
    </w:p>
    <w:p>
      <w:pPr>
        <w:pStyle w:val="ListBullet"/>
        <w:spacing w:after="40"/>
      </w:pPr>
      <w:r>
        <w:rPr>
          <w:b/>
          <w:i w:val="0"/>
          <w:sz w:val="20"/>
        </w:rPr>
        <w:t>Concurrent use of phosphodiesterase inhibitors: sildenafil (Viagra), tadalafil (Cialis) and vardenafil (Levitra).</w:t>
      </w:r>
      <w:r>
        <w:rPr>
          <w:b w:val="0"/>
          <w:i w:val="0"/>
          <w:sz w:val="20"/>
        </w:rPr>
        <w:t xml:space="preserve"> Concurrent use may lead to hypotension and myocardial infarction or stroke.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Deck versus truth — nitrate contraindications.</w:t>
            </w:r>
            <w:r>
              <w:rPr>
                <w:b w:val="0"/>
                <w:i w:val="0"/>
              </w:rPr>
              <w:t xml:space="preserve"> Slide 33 lists aortic valve stenosis and obstructive cardiomyopathy as contraindications. Current labeling treats severe aortic stenosis and obstructive cardiomyopathy as conditions to avoid or use with great caution, because nitrates can drop the blood pressure and worsen the outflow obstruction. The phosphodiesterase type 5 inhibitor combination is the absolute one.</w:t>
            </w:r>
          </w:p>
        </w:tc>
      </w:tr>
    </w:tbl>
    <w:p>
      <w:pPr>
        <w:spacing w:after="80"/>
      </w:pPr>
    </w:p>
    <w:p>
      <w:pPr>
        <w:pStyle w:val="Heading2"/>
        <w:spacing w:before="200" w:after="100"/>
      </w:pPr>
      <w:r>
        <w:rPr>
          <w:rFonts w:ascii="Georgia" w:hAnsi="Georgia"/>
          <w:color w:val="6B3524"/>
        </w:rPr>
        <w:t>5.5 · Objectives 1–3 and 7 — Add-on therapy, comorbid conditions and variant angina</w:t>
      </w:r>
    </w:p>
    <w:p>
      <w:pPr>
        <w:spacing w:after="120"/>
      </w:pPr>
      <w:r>
        <w:rPr>
          <w:b w:val="0"/>
          <w:i w:val="0"/>
        </w:rPr>
        <w:t>Also tested</w:t>
      </w:r>
    </w:p>
    <w:p>
      <w:pPr>
        <w:pStyle w:val="ListBullet"/>
        <w:spacing w:after="40"/>
      </w:pPr>
      <w:r>
        <w:rPr>
          <w:b/>
          <w:i w:val="0"/>
          <w:sz w:val="20"/>
        </w:rPr>
        <w:t>After a myocardial infarction, calcium channel blockers are the class to avoid.</w:t>
      </w:r>
      <w:r>
        <w:rPr>
          <w:b w:val="0"/>
          <w:i w:val="0"/>
          <w:sz w:val="20"/>
        </w:rPr>
        <w:t xml:space="preserve"> The traditional comorbidity table says to avoid calcium channel blockers after an infarction and to prefer a beta blocker. Current practice is less absolute and allows a non-dihydropyridine when a beta blocker cannot be used.</w:t>
      </w:r>
    </w:p>
    <w:p>
      <w:pPr>
        <w:pStyle w:val="Heading3"/>
        <w:spacing w:before="200" w:after="100"/>
      </w:pPr>
      <w:r>
        <w:rPr>
          <w:rFonts w:ascii="Georgia" w:hAnsi="Georgia"/>
          <w:color w:val="6B3524"/>
        </w:rPr>
        <w:t>Combination therapy [slide 36]</w:t>
      </w:r>
    </w:p>
    <w:p>
      <w:pPr>
        <w:spacing w:after="120"/>
      </w:pPr>
      <w:r>
        <w:rPr>
          <w:b w:val="0"/>
          <w:i w:val="0"/>
        </w:rPr>
        <w:t xml:space="preserve">Consider combination therapy </w:t>
      </w:r>
      <w:r>
        <w:rPr>
          <w:b/>
          <w:i w:val="0"/>
        </w:rPr>
        <w:t>if angina persists with monotherapy</w:t>
      </w:r>
      <w:r>
        <w:rPr>
          <w:b w:val="0"/>
          <w:i w:val="0"/>
        </w:rPr>
        <w:t xml:space="preserve"> [slide 36]. A beta blocker and a calcium channel blocker may be combined if the patient can tolerate it, and there is some evidence that this increases exercise duration [slide 36]. If a </w:t>
      </w:r>
      <w:r>
        <w:rPr>
          <w:b/>
          <w:i w:val="0"/>
        </w:rPr>
        <w:t>third agent</w:t>
      </w:r>
      <w:r>
        <w:rPr>
          <w:b w:val="0"/>
          <w:i w:val="0"/>
        </w:rPr>
        <w:t xml:space="preserve"> seems needed, the patient probably needs further workup, such as angiography [slide 36]. (In practice the calcium channel blocker paired with a beta blocker is a dihydropyridine, as slide 22 says.)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14:21 of the recording: </w:t>
            </w:r>
            <w:r>
              <w:rPr>
                <w:b w:val="0"/>
                <w:i/>
              </w:rPr>
              <w:t>“How do we sequence these medications, in what order do you use these… that was really easy for test questions where I can say, okay, well, patient’s already on this and they’re not really at goal, what do you want to do next? Or they’re intolerant to this, what do you want to switch to?”</w:t>
            </w:r>
          </w:p>
          <w:p>
            <w:pPr>
              <w:spacing w:after="120"/>
            </w:pPr>
            <w:r>
              <w:rPr>
                <w:b w:val="0"/>
                <w:i w:val="0"/>
              </w:rPr>
              <w:t xml:space="preserve">Two stem shapes: </w:t>
            </w:r>
            <w:r>
              <w:rPr>
                <w:b w:val="0"/>
                <w:i w:val="0"/>
                <w:highlight w:val="yellow"/>
              </w:rPr>
              <w:t>add-on</w:t>
            </w:r>
            <w:r>
              <w:rPr>
                <w:b w:val="0"/>
                <w:i w:val="0"/>
              </w:rPr>
              <w:t xml:space="preserve"> (beta blocker, then a dihydropyridine calcium channel blocker, then a long-acting nitrate) and </w:t>
            </w:r>
            <w:r>
              <w:rPr>
                <w:b w:val="0"/>
                <w:i w:val="0"/>
                <w:highlight w:val="yellow"/>
              </w:rPr>
              <w:t>switch</w:t>
            </w:r>
            <w:r>
              <w:rPr>
                <w:b w:val="0"/>
                <w:i w:val="0"/>
              </w:rPr>
              <w:t xml:space="preserve"> (beta blocker not tolerated, so a non-dihydropyridine calcium channel blocker) [slides 22, 29 and 36].</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46:55 of the recording: </w:t>
            </w:r>
            <w:r>
              <w:rPr>
                <w:b w:val="0"/>
                <w:i/>
              </w:rPr>
              <w:t>“If you see anyone who’s on a beta blocker plus a non-DHP, you’re just kind of begging for trouble with that kind of combination… if you need a third agent you probably need further workup.”</w:t>
            </w:r>
          </w:p>
          <w:p>
            <w:pPr>
              <w:spacing w:after="120"/>
            </w:pPr>
            <w:r>
              <w:rPr>
                <w:b w:val="0"/>
                <w:i w:val="0"/>
              </w:rPr>
              <w:t xml:space="preserve">Dihydropyridine plus a beta blocker is the sensible pair; a beta blocker with a non-dihydropyridine is avoided; </w:t>
            </w:r>
            <w:r>
              <w:rPr>
                <w:b w:val="0"/>
                <w:i w:val="0"/>
                <w:highlight w:val="yellow"/>
              </w:rPr>
              <w:t>a third agent means further workup</w:t>
            </w:r>
            <w:r>
              <w:rPr>
                <w:b w:val="0"/>
                <w:i w:val="0"/>
              </w:rPr>
              <w:t xml:space="preserve"> such as angiography [slide 36].</w:t>
            </w:r>
          </w:p>
        </w:tc>
      </w:tr>
    </w:tbl>
    <w:p>
      <w:pPr>
        <w:spacing w:after="80"/>
      </w:pPr>
    </w:p>
    <w:p>
      <w:pPr>
        <w:pStyle w:val="Heading3"/>
        <w:spacing w:before="200" w:after="100"/>
      </w:pPr>
      <w:r>
        <w:rPr>
          <w:rFonts w:ascii="Georgia" w:hAnsi="Georgia"/>
          <w:color w:val="6B3524"/>
        </w:rPr>
        <w:t>Which drug for which comorbid condition [slide 34]</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6B3524"/>
          </w:tcPr>
          <w:p>
            <w:pPr>
              <w:spacing w:after="40"/>
            </w:pPr>
            <w:r>
              <w:rPr>
                <w:b/>
                <w:color w:val="FFFFFF"/>
                <w:sz w:val="18"/>
              </w:rPr>
            </w:r>
            <w:r>
              <w:rPr>
                <w:b/>
                <w:i w:val="0"/>
                <w:color w:val="FFFFFF"/>
                <w:sz w:val="18"/>
              </w:rPr>
              <w:t>Comorbid condition</w:t>
            </w:r>
          </w:p>
        </w:tc>
        <w:tc>
          <w:tcPr>
            <w:tcW w:type="dxa" w:w="3636"/>
            <w:shd w:val="clear" w:color="auto" w:fill="6B3524"/>
          </w:tcPr>
          <w:p>
            <w:pPr>
              <w:spacing w:after="40"/>
            </w:pPr>
            <w:r>
              <w:rPr>
                <w:b/>
                <w:color w:val="FFFFFF"/>
                <w:sz w:val="18"/>
              </w:rPr>
            </w:r>
            <w:r>
              <w:rPr>
                <w:b/>
                <w:i w:val="0"/>
                <w:color w:val="FFFFFF"/>
                <w:sz w:val="18"/>
              </w:rPr>
              <w:t>First line</w:t>
            </w:r>
          </w:p>
        </w:tc>
        <w:tc>
          <w:tcPr>
            <w:tcW w:type="dxa" w:w="3636"/>
            <w:shd w:val="clear" w:color="auto" w:fill="6B3524"/>
          </w:tcPr>
          <w:p>
            <w:pPr>
              <w:spacing w:after="40"/>
            </w:pPr>
            <w:r>
              <w:rPr>
                <w:b/>
                <w:color w:val="FFFFFF"/>
                <w:sz w:val="18"/>
              </w:rPr>
            </w:r>
            <w:r>
              <w:rPr>
                <w:b/>
                <w:i w:val="0"/>
                <w:color w:val="FFFFFF"/>
                <w:sz w:val="18"/>
              </w:rPr>
              <w:t>Alternative</w:t>
            </w:r>
          </w:p>
        </w:tc>
        <w:tc>
          <w:tcPr>
            <w:tcW w:type="dxa" w:w="3636"/>
            <w:shd w:val="clear" w:color="auto" w:fill="6B3524"/>
          </w:tcPr>
          <w:p>
            <w:pPr>
              <w:spacing w:after="40"/>
            </w:pPr>
            <w:r>
              <w:rPr>
                <w:b/>
                <w:color w:val="FFFFFF"/>
                <w:sz w:val="18"/>
              </w:rPr>
            </w:r>
            <w:r>
              <w:rPr>
                <w:b/>
                <w:i w:val="0"/>
                <w:color w:val="FFFFFF"/>
                <w:sz w:val="18"/>
              </w:rPr>
              <w:t>Avoid</w:t>
            </w:r>
          </w:p>
        </w:tc>
      </w:tr>
      <w:tr>
        <w:tc>
          <w:tcPr>
            <w:tcW w:type="dxa" w:w="3636"/>
          </w:tcPr>
          <w:p>
            <w:pPr>
              <w:spacing w:after="40"/>
            </w:pPr>
            <w:r>
              <w:rPr>
                <w:sz w:val="18"/>
              </w:rPr>
            </w:r>
            <w:r>
              <w:rPr>
                <w:b/>
                <w:i w:val="0"/>
                <w:sz w:val="18"/>
              </w:rPr>
              <w:t>Hypertension</w:t>
            </w:r>
          </w:p>
        </w:tc>
        <w:tc>
          <w:tcPr>
            <w:tcW w:type="dxa" w:w="3636"/>
          </w:tcPr>
          <w:p>
            <w:pPr>
              <w:spacing w:after="40"/>
            </w:pPr>
            <w:r>
              <w:rPr>
                <w:sz w:val="18"/>
              </w:rPr>
            </w:r>
            <w:r>
              <w:rPr>
                <w:b w:val="0"/>
                <w:i w:val="0"/>
                <w:sz w:val="18"/>
              </w:rPr>
              <w:t>Beta blocker</w:t>
            </w:r>
          </w:p>
        </w:tc>
        <w:tc>
          <w:tcPr>
            <w:tcW w:type="dxa" w:w="3636"/>
          </w:tcPr>
          <w:p>
            <w:pPr>
              <w:spacing w:after="40"/>
            </w:pPr>
            <w:r>
              <w:rPr>
                <w:sz w:val="18"/>
              </w:rPr>
            </w:r>
            <w:r>
              <w:rPr>
                <w:b w:val="0"/>
                <w:i w:val="0"/>
                <w:sz w:val="18"/>
              </w:rPr>
              <w:t>Non-dihydropyridine calcium channel blocker</w:t>
            </w:r>
          </w:p>
        </w:tc>
        <w:tc>
          <w:tcPr>
            <w:tcW w:type="dxa" w:w="3636"/>
          </w:tcPr>
          <w:p>
            <w:pPr>
              <w:spacing w:after="40"/>
            </w:pPr>
            <w:r>
              <w:rPr>
                <w:sz w:val="18"/>
              </w:rPr>
            </w:r>
            <w:r>
              <w:rPr>
                <w:b w:val="0"/>
                <w:i w:val="0"/>
                <w:sz w:val="18"/>
              </w:rPr>
              <w:t>None listed</w:t>
            </w:r>
          </w:p>
        </w:tc>
      </w:tr>
      <w:tr>
        <w:tc>
          <w:tcPr>
            <w:tcW w:type="dxa" w:w="3636"/>
          </w:tcPr>
          <w:p>
            <w:pPr>
              <w:spacing w:after="40"/>
            </w:pPr>
            <w:r>
              <w:rPr>
                <w:sz w:val="18"/>
              </w:rPr>
            </w:r>
            <w:r>
              <w:rPr>
                <w:b/>
                <w:i w:val="0"/>
                <w:sz w:val="18"/>
              </w:rPr>
              <w:t>Prior myocardial infarction</w:t>
            </w:r>
          </w:p>
        </w:tc>
        <w:tc>
          <w:tcPr>
            <w:tcW w:type="dxa" w:w="3636"/>
          </w:tcPr>
          <w:p>
            <w:pPr>
              <w:spacing w:after="40"/>
            </w:pPr>
            <w:r>
              <w:rPr>
                <w:sz w:val="18"/>
              </w:rPr>
            </w:r>
            <w:r>
              <w:rPr>
                <w:b w:val="0"/>
                <w:i w:val="0"/>
                <w:sz w:val="18"/>
              </w:rPr>
              <w:t>Beta blocker</w:t>
            </w:r>
          </w:p>
        </w:tc>
        <w:tc>
          <w:tcPr>
            <w:tcW w:type="dxa" w:w="3636"/>
          </w:tcPr>
          <w:p>
            <w:pPr>
              <w:spacing w:after="40"/>
            </w:pPr>
            <w:r>
              <w:rPr>
                <w:sz w:val="18"/>
              </w:rPr>
            </w:r>
            <w:r>
              <w:rPr>
                <w:b w:val="0"/>
                <w:i w:val="0"/>
                <w:sz w:val="18"/>
              </w:rPr>
              <w:t>None listed</w:t>
            </w:r>
          </w:p>
        </w:tc>
        <w:tc>
          <w:tcPr>
            <w:tcW w:type="dxa" w:w="3636"/>
          </w:tcPr>
          <w:p>
            <w:pPr>
              <w:spacing w:after="40"/>
            </w:pPr>
            <w:r>
              <w:rPr>
                <w:sz w:val="18"/>
              </w:rPr>
            </w:r>
            <w:r>
              <w:rPr>
                <w:b w:val="0"/>
                <w:i w:val="0"/>
                <w:sz w:val="18"/>
              </w:rPr>
              <w:t>Calcium channel blockers (the course cell; see the box below)</w:t>
            </w:r>
          </w:p>
        </w:tc>
      </w:tr>
      <w:tr>
        <w:tc>
          <w:tcPr>
            <w:tcW w:type="dxa" w:w="3636"/>
          </w:tcPr>
          <w:p>
            <w:pPr>
              <w:spacing w:after="40"/>
            </w:pPr>
            <w:r>
              <w:rPr>
                <w:sz w:val="18"/>
              </w:rPr>
            </w:r>
            <w:r>
              <w:rPr>
                <w:b/>
                <w:i w:val="0"/>
                <w:sz w:val="18"/>
              </w:rPr>
              <w:t>Decreased left ventricular function</w:t>
            </w:r>
          </w:p>
        </w:tc>
        <w:tc>
          <w:tcPr>
            <w:tcW w:type="dxa" w:w="3636"/>
          </w:tcPr>
          <w:p>
            <w:pPr>
              <w:spacing w:after="40"/>
            </w:pPr>
            <w:r>
              <w:rPr>
                <w:sz w:val="18"/>
              </w:rPr>
            </w:r>
            <w:r>
              <w:rPr>
                <w:b w:val="0"/>
                <w:i w:val="0"/>
                <w:sz w:val="18"/>
              </w:rPr>
              <w:t>Beta blocker</w:t>
            </w:r>
          </w:p>
        </w:tc>
        <w:tc>
          <w:tcPr>
            <w:tcW w:type="dxa" w:w="3636"/>
          </w:tcPr>
          <w:p>
            <w:pPr>
              <w:spacing w:after="40"/>
            </w:pPr>
            <w:r>
              <w:rPr>
                <w:sz w:val="18"/>
              </w:rPr>
            </w:r>
            <w:r>
              <w:rPr>
                <w:b w:val="0"/>
                <w:i w:val="0"/>
                <w:sz w:val="18"/>
              </w:rPr>
              <w:t>Amlodipine</w:t>
            </w:r>
          </w:p>
        </w:tc>
        <w:tc>
          <w:tcPr>
            <w:tcW w:type="dxa" w:w="3636"/>
          </w:tcPr>
          <w:p>
            <w:pPr>
              <w:spacing w:after="40"/>
            </w:pPr>
            <w:r>
              <w:rPr>
                <w:sz w:val="18"/>
              </w:rPr>
            </w:r>
            <w:r>
              <w:rPr>
                <w:b w:val="0"/>
                <w:i w:val="0"/>
                <w:sz w:val="18"/>
              </w:rPr>
              <w:t>Other calcium channel blockers</w:t>
            </w:r>
          </w:p>
        </w:tc>
      </w:tr>
      <w:tr>
        <w:tc>
          <w:tcPr>
            <w:tcW w:type="dxa" w:w="3636"/>
          </w:tcPr>
          <w:p>
            <w:pPr>
              <w:spacing w:after="40"/>
            </w:pPr>
            <w:r>
              <w:rPr>
                <w:sz w:val="18"/>
              </w:rPr>
            </w:r>
            <w:r>
              <w:rPr>
                <w:b/>
                <w:i w:val="0"/>
                <w:sz w:val="18"/>
              </w:rPr>
              <w:t>Bradycardia or atrioventricular block</w:t>
            </w:r>
          </w:p>
        </w:tc>
        <w:tc>
          <w:tcPr>
            <w:tcW w:type="dxa" w:w="3636"/>
          </w:tcPr>
          <w:p>
            <w:pPr>
              <w:spacing w:after="40"/>
            </w:pPr>
            <w:r>
              <w:rPr>
                <w:sz w:val="18"/>
              </w:rPr>
            </w:r>
            <w:r>
              <w:rPr>
                <w:b w:val="0"/>
                <w:i w:val="0"/>
                <w:sz w:val="18"/>
              </w:rPr>
              <w:t>Dihydropyridine calcium channel blocker</w:t>
            </w:r>
          </w:p>
        </w:tc>
        <w:tc>
          <w:tcPr>
            <w:tcW w:type="dxa" w:w="3636"/>
          </w:tcPr>
          <w:p>
            <w:pPr>
              <w:spacing w:after="40"/>
            </w:pPr>
            <w:r>
              <w:rPr>
                <w:sz w:val="18"/>
              </w:rPr>
            </w:r>
            <w:r>
              <w:rPr>
                <w:b w:val="0"/>
                <w:i w:val="0"/>
                <w:sz w:val="18"/>
              </w:rPr>
              <w:t>Long-acting nitrate</w:t>
            </w:r>
          </w:p>
        </w:tc>
        <w:tc>
          <w:tcPr>
            <w:tcW w:type="dxa" w:w="3636"/>
          </w:tcPr>
          <w:p>
            <w:pPr>
              <w:spacing w:after="40"/>
            </w:pPr>
            <w:r>
              <w:rPr>
                <w:sz w:val="18"/>
              </w:rPr>
            </w:r>
            <w:r>
              <w:rPr>
                <w:b w:val="0"/>
                <w:i w:val="0"/>
                <w:sz w:val="18"/>
              </w:rPr>
              <w:t>Non-dihydropyridines and beta blockers</w:t>
            </w:r>
          </w:p>
        </w:tc>
      </w:tr>
      <w:tr>
        <w:tc>
          <w:tcPr>
            <w:tcW w:type="dxa" w:w="3636"/>
          </w:tcPr>
          <w:p>
            <w:pPr>
              <w:spacing w:after="40"/>
            </w:pPr>
            <w:r>
              <w:rPr>
                <w:sz w:val="18"/>
              </w:rPr>
            </w:r>
            <w:r>
              <w:rPr>
                <w:b/>
                <w:i w:val="0"/>
                <w:sz w:val="18"/>
              </w:rPr>
              <w:t>Diabetes</w:t>
            </w:r>
          </w:p>
        </w:tc>
        <w:tc>
          <w:tcPr>
            <w:tcW w:type="dxa" w:w="3636"/>
          </w:tcPr>
          <w:p>
            <w:pPr>
              <w:spacing w:after="40"/>
            </w:pPr>
            <w:r>
              <w:rPr>
                <w:sz w:val="18"/>
              </w:rPr>
            </w:r>
            <w:r>
              <w:rPr>
                <w:b w:val="0"/>
                <w:i w:val="0"/>
                <w:sz w:val="18"/>
              </w:rPr>
              <w:t>Non-dihydropyridine (the course cell; see the box below)</w:t>
            </w:r>
          </w:p>
        </w:tc>
        <w:tc>
          <w:tcPr>
            <w:tcW w:type="dxa" w:w="3636"/>
          </w:tcPr>
          <w:p>
            <w:pPr>
              <w:spacing w:after="40"/>
            </w:pPr>
            <w:r>
              <w:rPr>
                <w:sz w:val="18"/>
              </w:rPr>
            </w:r>
            <w:r>
              <w:rPr>
                <w:b w:val="0"/>
                <w:i w:val="0"/>
                <w:sz w:val="18"/>
              </w:rPr>
              <w:t>Long-acting nitrate; cardioselective beta blocker</w:t>
            </w:r>
          </w:p>
        </w:tc>
        <w:tc>
          <w:tcPr>
            <w:tcW w:type="dxa" w:w="3636"/>
          </w:tcPr>
          <w:p>
            <w:pPr>
              <w:spacing w:after="40"/>
            </w:pPr>
            <w:r>
              <w:rPr>
                <w:sz w:val="18"/>
              </w:rPr>
            </w:r>
            <w:r>
              <w:rPr>
                <w:b w:val="0"/>
                <w:i w:val="0"/>
                <w:sz w:val="18"/>
              </w:rPr>
              <w:t>Non-cardioselective beta blocker</w:t>
            </w:r>
          </w:p>
        </w:tc>
      </w:tr>
      <w:tr>
        <w:tc>
          <w:tcPr>
            <w:tcW w:type="dxa" w:w="3636"/>
          </w:tcPr>
          <w:p>
            <w:pPr>
              <w:spacing w:after="40"/>
            </w:pPr>
            <w:r>
              <w:rPr>
                <w:sz w:val="18"/>
              </w:rPr>
            </w:r>
            <w:r>
              <w:rPr>
                <w:b/>
                <w:i w:val="0"/>
                <w:sz w:val="18"/>
              </w:rPr>
              <w:t>Asthma</w:t>
            </w:r>
          </w:p>
        </w:tc>
        <w:tc>
          <w:tcPr>
            <w:tcW w:type="dxa" w:w="3636"/>
          </w:tcPr>
          <w:p>
            <w:pPr>
              <w:spacing w:after="40"/>
            </w:pPr>
            <w:r>
              <w:rPr>
                <w:sz w:val="18"/>
              </w:rPr>
            </w:r>
            <w:r>
              <w:rPr>
                <w:b w:val="0"/>
                <w:i w:val="0"/>
                <w:sz w:val="18"/>
              </w:rPr>
              <w:t>Non-dihydropyridine and cardioselective beta blocker</w:t>
            </w:r>
          </w:p>
        </w:tc>
        <w:tc>
          <w:tcPr>
            <w:tcW w:type="dxa" w:w="3636"/>
          </w:tcPr>
          <w:p>
            <w:pPr>
              <w:spacing w:after="40"/>
            </w:pPr>
            <w:r>
              <w:rPr>
                <w:sz w:val="18"/>
              </w:rPr>
            </w:r>
            <w:r>
              <w:rPr>
                <w:b w:val="0"/>
                <w:i w:val="0"/>
                <w:sz w:val="18"/>
              </w:rPr>
              <w:t>None listed</w:t>
            </w:r>
          </w:p>
        </w:tc>
        <w:tc>
          <w:tcPr>
            <w:tcW w:type="dxa" w:w="3636"/>
          </w:tcPr>
          <w:p>
            <w:pPr>
              <w:spacing w:after="40"/>
            </w:pPr>
            <w:r>
              <w:rPr>
                <w:sz w:val="18"/>
              </w:rPr>
            </w:r>
            <w:r>
              <w:rPr>
                <w:b/>
                <w:i w:val="0"/>
                <w:sz w:val="18"/>
              </w:rPr>
              <w:t>Non-cardioselective beta blocker</w:t>
            </w:r>
          </w:p>
        </w:tc>
      </w:tr>
    </w:tbl>
    <w:p>
      <w:pPr>
        <w:spacing w:after="80"/>
      </w:pPr>
    </w:p>
    <w:p>
      <w:pPr>
        <w:spacing w:after="120"/>
      </w:pPr>
      <w:r>
        <w:rPr>
          <w:b w:val="0"/>
          <w:i w:val="0"/>
        </w:rPr>
        <w:t xml:space="preserve">Where the table and current practice agree: a </w:t>
      </w:r>
      <w:r>
        <w:rPr>
          <w:b/>
          <w:i w:val="0"/>
        </w:rPr>
        <w:t>beta blocker is first line after a myocardial infarction, with hypertension, and with reduced left ventricular function</w:t>
      </w:r>
      <w:r>
        <w:rPr>
          <w:b w:val="0"/>
          <w:i w:val="0"/>
        </w:rPr>
        <w:t xml:space="preserve"> (amlodipine is the calcium channel blocker alternative there and the other calcium channel blockers are avoided); a </w:t>
      </w:r>
      <w:r>
        <w:rPr>
          <w:b/>
          <w:i w:val="0"/>
        </w:rPr>
        <w:t>dihydropyridine is first line with bradycardia or atrioventricular block, and non-dihydropyridines and beta blockers are avoided</w:t>
      </w:r>
      <w:r>
        <w:rPr>
          <w:b w:val="0"/>
          <w:i w:val="0"/>
        </w:rPr>
        <w:t xml:space="preserve">; and a </w:t>
      </w:r>
      <w:r>
        <w:rPr>
          <w:b/>
          <w:i w:val="0"/>
        </w:rPr>
        <w:t>non-cardioselective beta blocker is avoided in asthma</w:t>
      </w:r>
      <w:r>
        <w:rPr>
          <w:b w:val="0"/>
          <w:i w:val="0"/>
        </w:rPr>
        <w:t xml:space="preserve"> [slide 34]. Slide 18 lists reactive airway disease as a beta blocker precaution, which agrees. In asthma the cardioselective beta blockers the table lists are used with caution [slides 18 and 34]. In a patient with angina and asthma, </w:t>
      </w:r>
      <w:r>
        <w:rPr>
          <w:b/>
          <w:i w:val="0"/>
        </w:rPr>
        <w:t>non-selective beta blockers such as propranolol are avoided</w:t>
      </w:r>
      <w:r>
        <w:rPr>
          <w:b w:val="0"/>
          <w:i w:val="0"/>
        </w:rPr>
        <w:t>, while cardioselective beta blockers and non-dihydropyridine calcium channel blockers remain options [slide 34].</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val="0"/>
                <w:i w:val="0"/>
              </w:rPr>
              <w:t>Course rule versus current practice — two cells of the comorbidity table.</w:t>
            </w:r>
          </w:p>
          <w:p>
            <w:pPr>
              <w:pStyle w:val="ListBullet"/>
              <w:spacing w:after="40"/>
            </w:pPr>
            <w:r>
              <w:rPr>
                <w:b/>
                <w:i w:val="0"/>
                <w:sz w:val="20"/>
              </w:rPr>
              <w:t>Prior myocardial infarction → “avoid calcium channel blockers.”</w:t>
            </w:r>
            <w:r>
              <w:rPr>
                <w:b w:val="0"/>
                <w:i w:val="0"/>
                <w:sz w:val="20"/>
              </w:rPr>
              <w:t xml:space="preserve"> The course teaches this: after an infarction a beta blocker is first line and calcium channel blockers are the class to avoid, because the mortality evidence favors the beta blocker. </w:t>
            </w:r>
            <w:r>
              <w:rPr>
                <w:b/>
                <w:i w:val="0"/>
                <w:sz w:val="20"/>
              </w:rPr>
              <w:t>Learn it as the exam answer.</w:t>
            </w:r>
            <w:r>
              <w:rPr>
                <w:b w:val="0"/>
                <w:i w:val="0"/>
                <w:sz w:val="20"/>
              </w:rPr>
              <w:t xml:space="preserve"> Current practice is less absolute: a non-dihydropyridine is a reasonable substitute when a beta blocker is contraindicated (slide 22) and left ventricular function is normal; what is avoided is short-acting nifedipine and, with reduced function, the non-dihydropyridines.</w:t>
            </w:r>
          </w:p>
          <w:p>
            <w:pPr>
              <w:pStyle w:val="ListBullet"/>
              <w:spacing w:after="40"/>
            </w:pPr>
            <w:r>
              <w:rPr>
                <w:b/>
                <w:i w:val="0"/>
                <w:sz w:val="20"/>
              </w:rPr>
              <w:t>Diabetes → “non-dihydropyridine first line; alternatives long-acting nitrate and cardioselective beta blocker; avoid non-cardioselective beta blocker.”</w:t>
            </w:r>
            <w:r>
              <w:rPr>
                <w:b w:val="0"/>
                <w:i w:val="0"/>
                <w:sz w:val="20"/>
              </w:rPr>
              <w:t xml:space="preserve"> The course teaches this too (he gave the reason: beta blockers can raise blood sugar and mask the signs of hypoglycemia, so be cautious unless there is another reason for one). </w:t>
            </w:r>
            <w:r>
              <w:rPr>
                <w:b/>
                <w:i w:val="0"/>
                <w:sz w:val="20"/>
              </w:rPr>
              <w:t>Learn it as the exam answer.</w:t>
            </w:r>
            <w:r>
              <w:rPr>
                <w:b w:val="0"/>
                <w:i w:val="0"/>
                <w:sz w:val="20"/>
              </w:rPr>
              <w:t xml:space="preserve"> Current practice is more flexible: a cardioselective beta blocker remains a sound first choice in a patient with diabetes and angina, and diabetes alone is not a reason to put a non-dihydropyridine ahead of it.</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43:30 of the recording: </w:t>
            </w:r>
            <w:r>
              <w:rPr>
                <w:b w:val="0"/>
                <w:i/>
              </w:rPr>
              <w:t>“This is a really good table for your anti-anginals… come back to this, because this is like a cornucopia of test questions could come from something like this.”</w:t>
            </w:r>
          </w:p>
          <w:p>
            <w:pPr>
              <w:spacing w:after="120"/>
            </w:pPr>
            <w:r>
              <w:rPr>
                <w:b w:val="0"/>
                <w:i w:val="0"/>
              </w:rPr>
              <w:t xml:space="preserve">At 44:16 of the recording: </w:t>
            </w:r>
            <w:r>
              <w:rPr>
                <w:b w:val="0"/>
                <w:i/>
              </w:rPr>
              <w:t>“For things to avoid, for prior MI, calcium channel blockers kind of in general, we really prefer beta blockers just from the evidence that we have in terms of mortality… be very cautious.”</w:t>
            </w:r>
          </w:p>
          <w:p>
            <w:pPr>
              <w:spacing w:after="120"/>
            </w:pPr>
            <w:r>
              <w:rPr>
                <w:b/>
                <w:i w:val="0"/>
              </w:rPr>
              <w:t>He read every row, and the course keys them as he read them.</w:t>
            </w:r>
            <w:r>
              <w:rPr>
                <w:b w:val="0"/>
                <w:i w:val="0"/>
              </w:rPr>
              <w:t xml:space="preserve"> He walked the table row by row and called it a cornucopia of test questions: hypertension, reduced left ventricular function and (after a myocardial infarction) a prior infarction all point to a beta blocker; bradycardia or block points to a dihydropyridine; asthma points to a cardioselective beta blocker or a non-dihydropyridine [slide 34]. He also read the prior-infarction cell (avoid calcium channel blockers) and, essentially as the slide words it, the diabetes cell (non-dihydropyridine first line): learn those two as the course has them; the box above says where current practice differs.</w:t>
            </w:r>
          </w:p>
        </w:tc>
      </w:tr>
    </w:tbl>
    <w:p>
      <w:pPr>
        <w:spacing w:after="80"/>
      </w:pPr>
    </w:p>
    <w:p>
      <w:pPr>
        <w:pStyle w:val="Heading3"/>
        <w:spacing w:before="200" w:after="100"/>
      </w:pPr>
      <w:r>
        <w:rPr>
          <w:rFonts w:ascii="Georgia" w:hAnsi="Georgia"/>
          <w:color w:val="6B3524"/>
        </w:rPr>
        <w:t>Angiotensin-converting enzyme inhibitors [slide 35]</w:t>
      </w:r>
    </w:p>
    <w:p>
      <w:pPr>
        <w:spacing w:after="120"/>
      </w:pPr>
      <w:r>
        <w:rPr>
          <w:b w:val="0"/>
          <w:i w:val="0"/>
        </w:rPr>
        <w:t xml:space="preserve">These are used in patients with coronary artery disease who also have </w:t>
      </w:r>
      <w:r>
        <w:rPr>
          <w:b/>
          <w:i w:val="0"/>
        </w:rPr>
        <w:t>diabetes and/or left ventricular systolic dysfunction</w:t>
      </w:r>
      <w:r>
        <w:rPr>
          <w:b w:val="0"/>
          <w:i w:val="0"/>
        </w:rPr>
        <w:t xml:space="preserve"> [slide 35]. They </w:t>
      </w:r>
      <w:r>
        <w:rPr>
          <w:b/>
          <w:i w:val="0"/>
        </w:rPr>
        <w:t>do not significantly affect myocardial oxygen consumption</w:t>
      </w:r>
      <w:r>
        <w:rPr>
          <w:b w:val="0"/>
          <w:i w:val="0"/>
        </w:rPr>
        <w:t xml:space="preserve"> and </w:t>
      </w:r>
      <w:r>
        <w:rPr>
          <w:b/>
          <w:i w:val="0"/>
        </w:rPr>
        <w:t>do not relieve the symptoms of angina</w:t>
      </w:r>
      <w:r>
        <w:rPr>
          <w:b w:val="0"/>
          <w:i w:val="0"/>
        </w:rPr>
        <w:t xml:space="preserve"> [slide 35]. They </w:t>
      </w:r>
      <w:r>
        <w:rPr>
          <w:b/>
          <w:i w:val="0"/>
        </w:rPr>
        <w:t>may help prevent progression of coronary artery disease</w:t>
      </w:r>
      <w:r>
        <w:rPr>
          <w:b w:val="0"/>
          <w:i w:val="0"/>
        </w:rPr>
        <w:t xml:space="preserve"> [slide 35]. They should be used </w:t>
      </w:r>
      <w:r>
        <w:rPr>
          <w:b/>
          <w:i w:val="0"/>
        </w:rPr>
        <w:t>indefinitely</w:t>
      </w:r>
      <w:r>
        <w:rPr>
          <w:b w:val="0"/>
          <w:i w:val="0"/>
        </w:rPr>
        <w:t xml:space="preserve"> after a myocardial infarction, with left ventricular dysfunction, or with diabetes [slide 35]. They should be considered in </w:t>
      </w:r>
      <w:r>
        <w:rPr>
          <w:b/>
          <w:i w:val="0"/>
        </w:rPr>
        <w:t>all patients with coronary artery disease or other vascular disease</w:t>
      </w:r>
      <w:r>
        <w:rPr>
          <w:b w:val="0"/>
          <w:i w:val="0"/>
        </w:rPr>
        <w:t xml:space="preserve"> [slide 35]. They are vasculoprotective, not antianginal [slide 12].</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45:50 of the recording: </w:t>
            </w:r>
            <w:r>
              <w:rPr>
                <w:b w:val="0"/>
                <w:i/>
              </w:rPr>
              <w:t>“They do not relieve symptoms of angina, but they will help to prevent the progression of the coronary artery disease… these should be indefinitely in patients for post-MI, LV dysfunction, diabetes.”</w:t>
            </w:r>
          </w:p>
          <w:p>
            <w:pPr>
              <w:spacing w:after="120"/>
            </w:pPr>
            <w:r>
              <w:rPr>
                <w:b w:val="0"/>
                <w:i w:val="0"/>
                <w:highlight w:val="yellow"/>
              </w:rPr>
              <w:t>ACE inhibitors do not relieve angina</w:t>
            </w:r>
            <w:r>
              <w:rPr>
                <w:b w:val="0"/>
                <w:i w:val="0"/>
              </w:rPr>
              <w:t xml:space="preserve"> [slide 35]; they are vasculoprotective and slow disease progression, and are continued indefinitely after infarction, with left ventricular dysfunction or with diabetes.</w:t>
            </w:r>
          </w:p>
        </w:tc>
      </w:tr>
    </w:tbl>
    <w:p>
      <w:pPr>
        <w:spacing w:after="80"/>
      </w:pPr>
    </w:p>
    <w:p>
      <w:pPr>
        <w:pStyle w:val="Heading3"/>
        <w:spacing w:before="200" w:after="100"/>
      </w:pPr>
      <w:r>
        <w:rPr>
          <w:rFonts w:ascii="Georgia" w:hAnsi="Georgia"/>
          <w:color w:val="6B3524"/>
        </w:rPr>
        <w:t>Antiplatelet therapy [slide 37]</w:t>
      </w:r>
    </w:p>
    <w:p>
      <w:pPr>
        <w:spacing w:after="120"/>
      </w:pPr>
      <w:r>
        <w:rPr>
          <w:b/>
          <w:i w:val="0"/>
        </w:rPr>
        <w:t>Aspirin is given in the absence of contraindications</w:t>
      </w:r>
      <w:r>
        <w:rPr>
          <w:b w:val="0"/>
          <w:i w:val="0"/>
        </w:rPr>
        <w:t xml:space="preserve"> [slide 37]. </w:t>
      </w:r>
      <w:r>
        <w:rPr>
          <w:b/>
          <w:i w:val="0"/>
        </w:rPr>
        <w:t>Aspirin is used in ischemic heart disease for preventing acute coronary syndromes</w:t>
      </w:r>
      <w:r>
        <w:rPr>
          <w:b w:val="0"/>
          <w:i w:val="0"/>
        </w:rPr>
        <w:t xml:space="preserve">: it is given to every patient with ischemic heart disease who has no contraindication, to prevent acute coronary syndrome rather than to relieve symptoms [slide 37]. Its place in therapy is to </w:t>
      </w:r>
      <w:r>
        <w:rPr>
          <w:b/>
          <w:i w:val="0"/>
        </w:rPr>
        <w:t>prevent acute coronary syndrome</w:t>
      </w:r>
      <w:r>
        <w:rPr>
          <w:b w:val="0"/>
          <w:i w:val="0"/>
        </w:rPr>
        <w:t xml:space="preserve">, in </w:t>
      </w:r>
      <w:r>
        <w:rPr>
          <w:b/>
          <w:i w:val="0"/>
        </w:rPr>
        <w:t>all patients with ischemic heart disease</w:t>
      </w:r>
      <w:r>
        <w:rPr>
          <w:b w:val="0"/>
          <w:i w:val="0"/>
        </w:rPr>
        <w:t xml:space="preserve"> who have no contraindication [slide 37]. The slide gives about a 30 percent reduction in the risk of primary events with aspirin. </w:t>
      </w:r>
      <w:r>
        <w:rPr>
          <w:b/>
          <w:i w:val="0"/>
        </w:rPr>
        <w:t>Clopidogrel is as efficacious as aspirin in secondary prevention and is recommended for patients allergic to aspirin</w:t>
      </w:r>
      <w:r>
        <w:rPr>
          <w:b w:val="0"/>
          <w:i w:val="0"/>
        </w:rPr>
        <w:t xml:space="preserve"> [slide 37].</w:t>
      </w:r>
    </w:p>
    <w:p>
      <w:pPr>
        <w:pStyle w:val="Heading3"/>
        <w:spacing w:before="200" w:after="100"/>
      </w:pPr>
      <w:r>
        <w:rPr>
          <w:rFonts w:ascii="Georgia" w:hAnsi="Georgia"/>
          <w:color w:val="6B3524"/>
        </w:rPr>
        <w:t>The whole strategy on one slide [slide 38]</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Group</w:t>
            </w:r>
          </w:p>
        </w:tc>
        <w:tc>
          <w:tcPr>
            <w:tcW w:type="dxa" w:w="7272"/>
            <w:shd w:val="clear" w:color="auto" w:fill="6B3524"/>
          </w:tcPr>
          <w:p>
            <w:pPr>
              <w:spacing w:after="40"/>
            </w:pPr>
            <w:r>
              <w:rPr>
                <w:b/>
                <w:color w:val="FFFFFF"/>
                <w:sz w:val="18"/>
              </w:rPr>
            </w:r>
            <w:r>
              <w:rPr>
                <w:b/>
                <w:i w:val="0"/>
                <w:color w:val="FFFFFF"/>
                <w:sz w:val="18"/>
              </w:rPr>
              <w:t>Drugs</w:t>
            </w:r>
          </w:p>
        </w:tc>
      </w:tr>
      <w:tr>
        <w:tc>
          <w:tcPr>
            <w:tcW w:type="dxa" w:w="7272"/>
          </w:tcPr>
          <w:p>
            <w:pPr>
              <w:spacing w:after="40"/>
            </w:pPr>
            <w:r>
              <w:rPr>
                <w:sz w:val="18"/>
              </w:rPr>
            </w:r>
            <w:r>
              <w:rPr>
                <w:b/>
                <w:i w:val="0"/>
                <w:sz w:val="18"/>
              </w:rPr>
              <w:t>Give to everyone unless contraindicated</w:t>
            </w:r>
          </w:p>
        </w:tc>
        <w:tc>
          <w:tcPr>
            <w:tcW w:type="dxa" w:w="7272"/>
          </w:tcPr>
          <w:p>
            <w:pPr>
              <w:spacing w:after="40"/>
            </w:pPr>
            <w:r>
              <w:rPr>
                <w:sz w:val="18"/>
              </w:rPr>
            </w:r>
            <w:r>
              <w:rPr>
                <w:b w:val="0"/>
                <w:i w:val="0"/>
                <w:sz w:val="18"/>
              </w:rPr>
              <w:t>Aspirin; a beta blocker if there was a prior myocardial infarction; an angiotensin-converting enzyme inhibitor in patients with diabetes or left ventricular dysfunction; lipid-lowering therapy; sublingual nitroglycerin for acute relief</w:t>
            </w:r>
          </w:p>
        </w:tc>
      </w:tr>
      <w:tr>
        <w:tc>
          <w:tcPr>
            <w:tcW w:type="dxa" w:w="7272"/>
          </w:tcPr>
          <w:p>
            <w:pPr>
              <w:spacing w:after="40"/>
            </w:pPr>
            <w:r>
              <w:rPr>
                <w:sz w:val="18"/>
              </w:rPr>
            </w:r>
            <w:r>
              <w:rPr>
                <w:b/>
                <w:i w:val="0"/>
                <w:sz w:val="18"/>
              </w:rPr>
              <w:t>For daily or more frequent symptoms</w:t>
            </w:r>
            <w:r>
              <w:rPr>
                <w:b w:val="0"/>
                <w:i w:val="0"/>
                <w:sz w:val="18"/>
              </w:rPr>
              <w:t xml:space="preserve"> (prophylactic therapy)</w:t>
            </w:r>
          </w:p>
        </w:tc>
        <w:tc>
          <w:tcPr>
            <w:tcW w:type="dxa" w:w="7272"/>
          </w:tcPr>
          <w:p>
            <w:pPr>
              <w:spacing w:after="40"/>
            </w:pPr>
            <w:r>
              <w:rPr>
                <w:sz w:val="18"/>
              </w:rPr>
            </w:r>
            <w:r>
              <w:rPr>
                <w:b w:val="0"/>
                <w:i w:val="0"/>
                <w:sz w:val="18"/>
              </w:rPr>
              <w:t>Beta blockers; calcium channel blockers; long-acting nitrates</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48:19 of the recording: </w:t>
            </w:r>
            <w:r>
              <w:rPr>
                <w:b w:val="0"/>
                <w:i/>
              </w:rPr>
              <w:t>“Unless contraindicated, patients with coronary artery disease or ischemic heart disease should be getting aspirin, if they’ve had a previous MI beta blockers for sure, ACEs or ARBs in patients who have diabetes or LV dysfunction, lipid lowering therapy… they will have sublingual nitroglycerin for acute relief.”</w:t>
            </w:r>
          </w:p>
          <w:p>
            <w:pPr>
              <w:spacing w:after="120"/>
            </w:pPr>
            <w:r>
              <w:rPr>
                <w:b w:val="0"/>
                <w:i w:val="0"/>
                <w:highlight w:val="yellow"/>
              </w:rPr>
              <w:t>The standing list, unless contraindicated:</w:t>
            </w:r>
            <w:r>
              <w:rPr>
                <w:b w:val="0"/>
                <w:i w:val="0"/>
              </w:rPr>
              <w:t xml:space="preserve"> aspirin; a beta blocker after infarction; an angiotensin-converting enzyme inhibitor (or receptor blocker) with diabetes or left ventricular dysfunction; lipid-lowering therapy; sublingual nitroglycerin for acute relief [slide 38].</w:t>
            </w:r>
          </w:p>
        </w:tc>
      </w:tr>
    </w:tbl>
    <w:p>
      <w:pPr>
        <w:spacing w:after="80"/>
      </w:pPr>
    </w:p>
    <w:p>
      <w:pPr>
        <w:pStyle w:val="Heading3"/>
        <w:spacing w:before="200" w:after="100"/>
      </w:pPr>
      <w:r>
        <w:rPr>
          <w:rFonts w:ascii="Georgia" w:hAnsi="Georgia"/>
          <w:color w:val="6B3524"/>
        </w:rPr>
        <w:t>Variant angina [slides 8 and 39]</w:t>
      </w:r>
    </w:p>
    <w:p>
      <w:pPr>
        <w:spacing w:after="120"/>
      </w:pPr>
      <w:r>
        <w:rPr>
          <w:b/>
          <w:i w:val="0"/>
        </w:rPr>
        <w:t>Calcium channel blockers and nitrates can reduce symptoms</w:t>
      </w:r>
      <w:r>
        <w:rPr>
          <w:b w:val="0"/>
          <w:i w:val="0"/>
        </w:rPr>
        <w:t xml:space="preserve"> of variant angina, because both relieve vasospasm [slides 20, 25 and 39]. </w:t>
      </w:r>
      <w:r>
        <w:rPr>
          <w:b/>
          <w:i w:val="0"/>
        </w:rPr>
        <w:t>Avoid beta blockers: they may lead to worsened symptoms</w:t>
      </w:r>
      <w:r>
        <w:rPr>
          <w:b w:val="0"/>
          <w:i w:val="0"/>
        </w:rPr>
        <w:t xml:space="preserve"> [slide 39]. In variant angina the usual first line drug, the beta blocker, is the one to avoid [slide 39].</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26:25 of the recording: </w:t>
            </w:r>
            <w:r>
              <w:rPr>
                <w:b w:val="0"/>
                <w:i/>
              </w:rPr>
              <w:t>“If you were to say what’s the treatment of choice for a variant angina or Prinzmetal angina, usually it’s going to be a DHP… their problem is not necessarily contractility or heart rate, it’s just that vessel is clamping down.”</w:t>
            </w:r>
          </w:p>
          <w:p>
            <w:pPr>
              <w:spacing w:after="120"/>
            </w:pPr>
            <w:r>
              <w:rPr>
                <w:b w:val="0"/>
                <w:i w:val="0"/>
              </w:rPr>
              <w:t xml:space="preserve">At 49:11 of the recording: </w:t>
            </w:r>
            <w:r>
              <w:rPr>
                <w:b w:val="0"/>
                <w:i/>
              </w:rPr>
              <w:t>“For the variant angina, the Prinzmetal angina, that’s where you get into utilizing your dihydropyridine calcium channel blockers most commonly, you typically avoid beta blockers, they tend to worsen symptoms for the patient.”</w:t>
            </w:r>
          </w:p>
          <w:p>
            <w:pPr>
              <w:spacing w:after="120"/>
            </w:pPr>
            <w:r>
              <w:rPr>
                <w:b w:val="0"/>
                <w:i w:val="0"/>
                <w:highlight w:val="yellow"/>
              </w:rPr>
              <w:t>Variant angina: calcium channel blockers (usually a dihydropyridine) and nitrates; avoid beta blockers.</w:t>
            </w:r>
            <w:r>
              <w:rPr>
                <w:b w:val="0"/>
                <w:i w:val="0"/>
              </w:rPr>
              <w:t xml:space="preserve"> The problem is the vessel clamping down, a supply problem, not heart rate or contractility [slides 8 and 39].</w:t>
            </w:r>
          </w:p>
        </w:tc>
      </w:tr>
    </w:tbl>
    <w:p>
      <w:pPr>
        <w:spacing w:after="80"/>
      </w:pPr>
    </w:p>
    <w:p>
      <w:pPr>
        <w:pStyle w:val="Heading2"/>
        <w:spacing w:before="200" w:after="100"/>
      </w:pPr>
      <w:r>
        <w:rPr>
          <w:rFonts w:ascii="Georgia" w:hAnsi="Georgia"/>
          <w:color w:val="6B3524"/>
        </w:rPr>
        <w:t>5.6 · Objectives 1–3 — Acute coronary syndrome and thrombus formation</w:t>
      </w:r>
    </w:p>
    <w:p>
      <w:pPr>
        <w:pStyle w:val="Heading3"/>
        <w:spacing w:before="200" w:after="100"/>
      </w:pPr>
      <w:r>
        <w:rPr>
          <w:rFonts w:ascii="Georgia" w:hAnsi="Georgia"/>
          <w:color w:val="6B3524"/>
        </w:rPr>
        <w:t>Classification [slide 41]</w:t>
      </w:r>
    </w:p>
    <w:p>
      <w:pPr>
        <w:spacing w:after="120"/>
      </w:pPr>
      <w:r>
        <w:rPr>
          <w:b w:val="0"/>
          <w:i w:val="0"/>
        </w:rPr>
        <w:t xml:space="preserve">Acute coronary syndrome has two branches [slide 41]. </w:t>
      </w:r>
      <w:r>
        <w:rPr>
          <w:b/>
          <w:i w:val="0"/>
        </w:rPr>
        <w:t>ST-segment elevation myocardial infarction</w:t>
      </w:r>
      <w:r>
        <w:rPr>
          <w:b w:val="0"/>
          <w:i w:val="0"/>
        </w:rPr>
        <w:t xml:space="preserve"> is one. </w:t>
      </w:r>
      <w:r>
        <w:rPr>
          <w:b/>
          <w:i w:val="0"/>
        </w:rPr>
        <w:t>Non-ST-segment elevation acute coronary syndrome</w:t>
      </w:r>
      <w:r>
        <w:rPr>
          <w:b w:val="0"/>
          <w:i w:val="0"/>
        </w:rPr>
        <w:t xml:space="preserve"> is the other, and it contains </w:t>
      </w:r>
      <w:r>
        <w:rPr>
          <w:b/>
          <w:i w:val="0"/>
        </w:rPr>
        <w:t>unstable angina</w:t>
      </w:r>
      <w:r>
        <w:rPr>
          <w:b w:val="0"/>
          <w:i w:val="0"/>
        </w:rPr>
        <w:t xml:space="preserve"> and </w:t>
      </w:r>
      <w:r>
        <w:rPr>
          <w:b/>
          <w:i w:val="0"/>
        </w:rPr>
        <w:t>non-ST-elevation myocardial infarction</w:t>
      </w:r>
      <w:r>
        <w:rPr>
          <w:b w:val="0"/>
          <w:i w:val="0"/>
        </w:rPr>
        <w:t xml:space="preserve"> [slide 41]. The figure on the slide runs as follows: ischemic discomfort leads to a working diagnosis of acute coronary syndrome; the electrocardiogram then splits it, with </w:t>
      </w:r>
      <w:r>
        <w:rPr>
          <w:b/>
          <w:i w:val="0"/>
        </w:rPr>
        <w:t>no ST elevation</w:t>
      </w:r>
      <w:r>
        <w:rPr>
          <w:b w:val="0"/>
          <w:i w:val="0"/>
        </w:rPr>
        <w:t xml:space="preserve"> giving unstable angina or non-ST-elevation myocardial infarction (also called non-Q-wave myocardial infarction), and </w:t>
      </w:r>
      <w:r>
        <w:rPr>
          <w:b/>
          <w:i w:val="0"/>
        </w:rPr>
        <w:t>ST elevation</w:t>
      </w:r>
      <w:r>
        <w:rPr>
          <w:b w:val="0"/>
          <w:i w:val="0"/>
        </w:rPr>
        <w:t xml:space="preserve"> giving ST-elevation myocardial infarction (drawn on the slide as Q-wave myocardial infarction); a </w:t>
      </w:r>
      <w:r>
        <w:rPr>
          <w:b/>
          <w:i w:val="0"/>
        </w:rPr>
        <w:t>biochemical marker separates unstable angina from myocardial infarction</w:t>
      </w:r>
      <w:r>
        <w:rPr>
          <w:b w:val="0"/>
          <w:i w:val="0"/>
        </w:rPr>
        <w:t>. The heart cross-sections at 1 hour, 4 hours and 8 hours show the infarct growing into the area of ischemia [slide 41]. Slide 4 lists sudden cardiac death under acute coronary syndrome; the working classification on slide 41 is ST-elevation myocardial infarction versus non-ST-elevation acute coronary syndrome.</w:t>
      </w:r>
    </w:p>
    <w:p>
      <w:pPr>
        <w:spacing w:after="120"/>
      </w:pPr>
      <w:r>
        <w:rPr>
          <w:b/>
          <w:i w:val="0"/>
        </w:rPr>
        <w:t>ST-elevation myocardial infarction</w:t>
      </w:r>
      <w:r>
        <w:rPr>
          <w:b w:val="0"/>
          <w:i w:val="0"/>
        </w:rPr>
        <w:t xml:space="preserve"> is the branch with ST elevation on the electrocardiogram in a patient with ischemic discomfort [slide 41]; it is the form for which fibrinolytics are indicated [slide 65]. </w:t>
      </w:r>
      <w:r>
        <w:rPr>
          <w:b/>
          <w:i w:val="0"/>
        </w:rPr>
        <w:t>If coronary blood flow is not restored, the infarct grows over hours into the area of ischemia</w:t>
      </w:r>
      <w:r>
        <w:rPr>
          <w:b w:val="0"/>
          <w:i w:val="0"/>
        </w:rPr>
        <w:t xml:space="preserve"> [slide 41]; read together with slide 51, this is why reestablishing coronary blood flow is a goal of therapy.</w:t>
      </w:r>
    </w:p>
    <w:p>
      <w:pPr>
        <w:pStyle w:val="Heading3"/>
        <w:spacing w:before="200" w:after="100"/>
      </w:pPr>
      <w:r>
        <w:rPr>
          <w:rFonts w:ascii="Georgia" w:hAnsi="Georgia"/>
          <w:color w:val="6B3524"/>
        </w:rPr>
        <w:t>How a thrombus forms, step by step [slides 42 to 50]</w:t>
      </w:r>
    </w:p>
    <w:p>
      <w:pPr>
        <w:pStyle w:val="ListNumber"/>
        <w:spacing w:after="40"/>
      </w:pPr>
      <w:r>
        <w:rPr>
          <w:b/>
          <w:i w:val="0"/>
          <w:sz w:val="20"/>
        </w:rPr>
        <w:t>The plaque.</w:t>
      </w:r>
      <w:r>
        <w:rPr>
          <w:b w:val="0"/>
          <w:i w:val="0"/>
          <w:sz w:val="20"/>
        </w:rPr>
        <w:t xml:space="preserve"> The vessel wall has endothelium, smooth muscle cells, and an atherosclerotic plaque under a fibrous cap [slide 42].</w:t>
      </w:r>
    </w:p>
    <w:p>
      <w:pPr>
        <w:pStyle w:val="ListNumber"/>
        <w:spacing w:after="40"/>
      </w:pPr>
      <w:r>
        <w:rPr>
          <w:b/>
          <w:i w:val="0"/>
          <w:sz w:val="20"/>
        </w:rPr>
        <w:t>Injury.</w:t>
      </w:r>
      <w:r>
        <w:rPr>
          <w:b w:val="0"/>
          <w:i w:val="0"/>
          <w:sz w:val="20"/>
        </w:rPr>
        <w:t xml:space="preserve"> A procedural injury such as balloon deployment, or a spontaneous injury, leaves </w:t>
      </w:r>
      <w:r>
        <w:rPr>
          <w:b/>
          <w:i w:val="0"/>
          <w:sz w:val="20"/>
        </w:rPr>
        <w:t>injured endothelium</w:t>
      </w:r>
      <w:r>
        <w:rPr>
          <w:b w:val="0"/>
          <w:i w:val="0"/>
          <w:sz w:val="20"/>
        </w:rPr>
        <w:t xml:space="preserve"> [slide 43].</w:t>
      </w:r>
    </w:p>
    <w:p>
      <w:pPr>
        <w:pStyle w:val="ListNumber"/>
        <w:spacing w:after="40"/>
      </w:pPr>
      <w:r>
        <w:rPr>
          <w:b/>
          <w:i w:val="0"/>
          <w:sz w:val="20"/>
        </w:rPr>
        <w:t>Platelets respond.</w:t>
      </w:r>
      <w:r>
        <w:rPr>
          <w:b w:val="0"/>
          <w:i w:val="0"/>
          <w:sz w:val="20"/>
        </w:rPr>
        <w:t xml:space="preserve"> Platelet </w:t>
      </w:r>
      <w:r>
        <w:rPr>
          <w:b/>
          <w:i w:val="0"/>
          <w:sz w:val="20"/>
        </w:rPr>
        <w:t>adhesion, activation and aggregation</w:t>
      </w:r>
      <w:r>
        <w:rPr>
          <w:b w:val="0"/>
          <w:i w:val="0"/>
          <w:sz w:val="20"/>
        </w:rPr>
        <w:t xml:space="preserve"> occur at the plaque [slide 44].</w:t>
      </w:r>
    </w:p>
    <w:p>
      <w:pPr>
        <w:pStyle w:val="ListNumber"/>
        <w:spacing w:after="40"/>
      </w:pPr>
      <w:r>
        <w:rPr>
          <w:b/>
          <w:i w:val="0"/>
          <w:sz w:val="20"/>
        </w:rPr>
        <w:t>Fibrin forms.</w:t>
      </w:r>
      <w:r>
        <w:rPr>
          <w:b w:val="0"/>
          <w:i w:val="0"/>
          <w:sz w:val="20"/>
        </w:rPr>
        <w:t xml:space="preserve"> Fibrin strands form [slide 45].</w:t>
      </w:r>
    </w:p>
    <w:p>
      <w:pPr>
        <w:pStyle w:val="ListNumber"/>
        <w:spacing w:after="40"/>
      </w:pPr>
      <w:r>
        <w:rPr>
          <w:b/>
          <w:i w:val="0"/>
          <w:sz w:val="20"/>
        </w:rPr>
        <w:t>The occlusive thrombus.</w:t>
      </w:r>
      <w:r>
        <w:rPr>
          <w:b w:val="0"/>
          <w:i w:val="0"/>
          <w:sz w:val="20"/>
        </w:rPr>
        <w:t xml:space="preserve"> The clot blocks the artery [slide 46].</w:t>
      </w:r>
    </w:p>
    <w:p>
      <w:pPr>
        <w:spacing w:after="120"/>
      </w:pPr>
      <w:r>
        <w:rPr>
          <w:b/>
          <w:i w:val="0"/>
        </w:rPr>
        <w:t>Thrombin is the link</w:t>
      </w:r>
      <w:r>
        <w:rPr>
          <w:b w:val="0"/>
          <w:i w:val="0"/>
        </w:rPr>
        <w:t xml:space="preserve"> between tissue injury, coagulation and the platelet response [slide 47]. Exposed collagen leads to release of </w:t>
      </w:r>
      <w:r>
        <w:rPr>
          <w:b/>
          <w:i w:val="0"/>
        </w:rPr>
        <w:t>adenosine diphosphate and thromboxane A2</w:t>
      </w:r>
      <w:r>
        <w:rPr>
          <w:b w:val="0"/>
          <w:i w:val="0"/>
        </w:rPr>
        <w:t xml:space="preserve">, which activate and aggregate platelets [slide 47]. </w:t>
      </w:r>
      <w:r>
        <w:rPr>
          <w:b/>
          <w:i w:val="0"/>
        </w:rPr>
        <w:t>Tissue factor</w:t>
      </w:r>
      <w:r>
        <w:rPr>
          <w:b w:val="0"/>
          <w:i w:val="0"/>
        </w:rPr>
        <w:t xml:space="preserve"> starts the plasma clotting cascade; prothrombin becomes thrombin, and </w:t>
      </w:r>
      <w:r>
        <w:rPr>
          <w:b/>
          <w:i w:val="0"/>
        </w:rPr>
        <w:t>thrombin turns fibrinogen into fibrin</w:t>
      </w:r>
      <w:r>
        <w:rPr>
          <w:b w:val="0"/>
          <w:i w:val="0"/>
        </w:rPr>
        <w:t>, which forms the thrombus [slide 47]. Thrombin is a critical mediator in coagulation and elicits multiple responses in platelets [slide 47].</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Phase of clotting</w:t>
            </w:r>
          </w:p>
        </w:tc>
        <w:tc>
          <w:tcPr>
            <w:tcW w:type="dxa" w:w="7272"/>
            <w:shd w:val="clear" w:color="auto" w:fill="6B3524"/>
          </w:tcPr>
          <w:p>
            <w:pPr>
              <w:spacing w:after="40"/>
            </w:pPr>
            <w:r>
              <w:rPr>
                <w:b/>
                <w:color w:val="FFFFFF"/>
                <w:sz w:val="18"/>
              </w:rPr>
            </w:r>
            <w:r>
              <w:rPr>
                <w:b/>
                <w:i w:val="0"/>
                <w:color w:val="FFFFFF"/>
                <w:sz w:val="18"/>
              </w:rPr>
              <w:t>What happens</w:t>
            </w:r>
          </w:p>
        </w:tc>
      </w:tr>
      <w:tr>
        <w:tc>
          <w:tcPr>
            <w:tcW w:type="dxa" w:w="7272"/>
          </w:tcPr>
          <w:p>
            <w:pPr>
              <w:spacing w:after="40"/>
            </w:pPr>
            <w:r>
              <w:rPr>
                <w:sz w:val="18"/>
              </w:rPr>
            </w:r>
            <w:r>
              <w:rPr>
                <w:b/>
                <w:i w:val="0"/>
                <w:sz w:val="18"/>
              </w:rPr>
              <w:t>Initiation</w:t>
            </w:r>
            <w:r>
              <w:rPr>
                <w:b w:val="0"/>
                <w:i w:val="0"/>
                <w:sz w:val="18"/>
              </w:rPr>
              <w:t xml:space="preserve"> [slide 48]</w:t>
            </w:r>
          </w:p>
        </w:tc>
        <w:tc>
          <w:tcPr>
            <w:tcW w:type="dxa" w:w="7272"/>
          </w:tcPr>
          <w:p>
            <w:pPr>
              <w:spacing w:after="40"/>
            </w:pPr>
            <w:r>
              <w:rPr>
                <w:sz w:val="18"/>
              </w:rPr>
            </w:r>
            <w:r>
              <w:rPr>
                <w:b w:val="0"/>
                <w:i w:val="0"/>
                <w:sz w:val="18"/>
              </w:rPr>
              <w:t>Tissue factor complexes with factor VIIa at the site of injury, activates factor X and factor IX, and generates a small amount of thrombin</w:t>
            </w:r>
          </w:p>
        </w:tc>
      </w:tr>
      <w:tr>
        <w:tc>
          <w:tcPr>
            <w:tcW w:type="dxa" w:w="7272"/>
          </w:tcPr>
          <w:p>
            <w:pPr>
              <w:spacing w:after="40"/>
            </w:pPr>
            <w:r>
              <w:rPr>
                <w:sz w:val="18"/>
              </w:rPr>
            </w:r>
            <w:r>
              <w:rPr>
                <w:b/>
                <w:i w:val="0"/>
                <w:sz w:val="18"/>
              </w:rPr>
              <w:t>Amplification</w:t>
            </w:r>
            <w:r>
              <w:rPr>
                <w:b w:val="0"/>
                <w:i w:val="0"/>
                <w:sz w:val="18"/>
              </w:rPr>
              <w:t xml:space="preserve"> [slide 49]</w:t>
            </w:r>
          </w:p>
        </w:tc>
        <w:tc>
          <w:tcPr>
            <w:tcW w:type="dxa" w:w="7272"/>
          </w:tcPr>
          <w:p>
            <w:pPr>
              <w:spacing w:after="40"/>
            </w:pPr>
            <w:r>
              <w:rPr>
                <w:sz w:val="18"/>
              </w:rPr>
            </w:r>
            <w:r>
              <w:rPr>
                <w:b w:val="0"/>
                <w:i w:val="0"/>
                <w:sz w:val="18"/>
              </w:rPr>
              <w:t>Thrombin activates platelets and stimulates its own production by activating factors V and VIII, and also factor XI (figure); the coagulation factors VIIIa, Va and IXa assemble on the surface of activated platelets</w:t>
            </w:r>
          </w:p>
        </w:tc>
      </w:tr>
      <w:tr>
        <w:tc>
          <w:tcPr>
            <w:tcW w:type="dxa" w:w="7272"/>
          </w:tcPr>
          <w:p>
            <w:pPr>
              <w:spacing w:after="40"/>
            </w:pPr>
            <w:r>
              <w:rPr>
                <w:sz w:val="18"/>
              </w:rPr>
            </w:r>
            <w:r>
              <w:rPr>
                <w:b/>
                <w:i w:val="0"/>
                <w:sz w:val="18"/>
              </w:rPr>
              <w:t>Propagation</w:t>
            </w:r>
            <w:r>
              <w:rPr>
                <w:b w:val="0"/>
                <w:i w:val="0"/>
                <w:sz w:val="18"/>
              </w:rPr>
              <w:t xml:space="preserve"> [slide 50]</w:t>
            </w:r>
          </w:p>
        </w:tc>
        <w:tc>
          <w:tcPr>
            <w:tcW w:type="dxa" w:w="7272"/>
          </w:tcPr>
          <w:p>
            <w:pPr>
              <w:spacing w:after="40"/>
            </w:pPr>
            <w:r>
              <w:rPr>
                <w:sz w:val="18"/>
              </w:rPr>
            </w:r>
            <w:r>
              <w:rPr>
                <w:b w:val="0"/>
                <w:i w:val="0"/>
                <w:sz w:val="18"/>
              </w:rPr>
              <w:t>The assembled complexes continue the cascade on the activated platelets: prothrombin is converted to thrombin, fibrinogen to fibrin, and the clot is stabilized</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51:33 of the recording: </w:t>
            </w:r>
            <w:r>
              <w:rPr>
                <w:b w:val="0"/>
                <w:i/>
              </w:rPr>
              <w:t>“If you only had to know two clotting factors, the two most important ones are 10 and 2… that’s what’s going to cause the activation of fibrin.”</w:t>
            </w:r>
          </w:p>
          <w:p>
            <w:pPr>
              <w:spacing w:after="120"/>
            </w:pPr>
            <w:r>
              <w:rPr>
                <w:b w:val="0"/>
                <w:i w:val="0"/>
                <w:highlight w:val="yellow"/>
              </w:rPr>
              <w:t>The two factors he said to know are factor X and factor II (thrombin).</w:t>
            </w:r>
            <w:r>
              <w:rPr>
                <w:b w:val="0"/>
                <w:i w:val="0"/>
              </w:rPr>
              <w:t xml:space="preserve"> Factor X is activated in initiation [slide 48]; prothrombin (factor II) becomes thrombin, which activates platelets and turns fibrinogen into fibrin [slides 47 and 49].</w:t>
            </w:r>
          </w:p>
        </w:tc>
      </w:tr>
    </w:tbl>
    <w:p>
      <w:pPr>
        <w:spacing w:after="80"/>
      </w:pPr>
    </w:p>
    <w:p>
      <w:pPr>
        <w:pStyle w:val="Heading3"/>
        <w:spacing w:before="200" w:after="100"/>
      </w:pPr>
      <w:r>
        <w:rPr>
          <w:rFonts w:ascii="Georgia" w:hAnsi="Georgia"/>
          <w:color w:val="6B3524"/>
        </w:rPr>
        <w:t>Goals of therapy [slide 51]</w:t>
      </w:r>
    </w:p>
    <w:p>
      <w:pPr>
        <w:spacing w:after="120"/>
      </w:pPr>
      <w:r>
        <w:rPr>
          <w:b w:val="0"/>
          <w:i w:val="0"/>
        </w:rPr>
        <w:t xml:space="preserve">The five goals are to </w:t>
      </w:r>
      <w:r>
        <w:rPr>
          <w:b/>
          <w:i w:val="0"/>
        </w:rPr>
        <w:t>reestablish coronary blood flow, relieve chest pain, prevent progression to myocardial infarction, prevent the development of heart failure, and prevent death</w:t>
      </w:r>
      <w:r>
        <w:rPr>
          <w:b w:val="0"/>
          <w:i w:val="0"/>
        </w:rPr>
        <w:t xml:space="preserve"> [slide 51].</w:t>
      </w:r>
    </w:p>
    <w:p>
      <w:pPr>
        <w:pStyle w:val="Heading2"/>
        <w:spacing w:before="200" w:after="100"/>
      </w:pPr>
      <w:r>
        <w:rPr>
          <w:rFonts w:ascii="Georgia" w:hAnsi="Georgia"/>
          <w:color w:val="6B3524"/>
        </w:rPr>
        <w:t>5.7 · Objectives 1–7 — Acute coronary syndrome: aspirin, nitrates, beta blockers, morphine</w:t>
      </w:r>
    </w:p>
    <w:p>
      <w:pPr>
        <w:spacing w:after="120"/>
      </w:pPr>
      <w:r>
        <w:rPr>
          <w:b w:val="0"/>
          <w:i w:val="0"/>
        </w:rPr>
        <w:t xml:space="preserve">Aspirin, nitrates and beta blockers are the </w:t>
      </w:r>
      <w:r>
        <w:rPr>
          <w:b/>
          <w:i w:val="0"/>
        </w:rPr>
        <w:t>common pharmacologic therapy for both ST-elevation myocardial infarction and non-ST-elevation acute coronary syndrome</w:t>
      </w:r>
      <w:r>
        <w:rPr>
          <w:b w:val="0"/>
          <w:i w:val="0"/>
        </w:rPr>
        <w:t xml:space="preserve"> [slide 52].</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6B3524"/>
          </w:tcPr>
          <w:p>
            <w:pPr>
              <w:spacing w:after="40"/>
            </w:pPr>
            <w:r>
              <w:rPr>
                <w:b/>
                <w:color w:val="FFFFFF"/>
                <w:sz w:val="18"/>
              </w:rPr>
            </w:r>
            <w:r>
              <w:rPr>
                <w:b/>
                <w:i w:val="0"/>
                <w:color w:val="FFFFFF"/>
                <w:sz w:val="18"/>
              </w:rPr>
              <w:t>Drug</w:t>
            </w:r>
          </w:p>
        </w:tc>
        <w:tc>
          <w:tcPr>
            <w:tcW w:type="dxa" w:w="2909"/>
            <w:shd w:val="clear" w:color="auto" w:fill="6B3524"/>
          </w:tcPr>
          <w:p>
            <w:pPr>
              <w:spacing w:after="40"/>
            </w:pPr>
            <w:r>
              <w:rPr>
                <w:b/>
                <w:color w:val="FFFFFF"/>
                <w:sz w:val="18"/>
              </w:rPr>
            </w:r>
            <w:r>
              <w:rPr>
                <w:b/>
                <w:i w:val="0"/>
                <w:color w:val="FFFFFF"/>
                <w:sz w:val="18"/>
              </w:rPr>
              <w:t>Use and timing</w:t>
            </w:r>
          </w:p>
        </w:tc>
        <w:tc>
          <w:tcPr>
            <w:tcW w:type="dxa" w:w="2909"/>
            <w:shd w:val="clear" w:color="auto" w:fill="6B3524"/>
          </w:tcPr>
          <w:p>
            <w:pPr>
              <w:spacing w:after="40"/>
            </w:pPr>
            <w:r>
              <w:rPr>
                <w:b/>
                <w:color w:val="FFFFFF"/>
                <w:sz w:val="18"/>
              </w:rPr>
            </w:r>
            <w:r>
              <w:rPr>
                <w:b/>
                <w:i w:val="0"/>
                <w:color w:val="FFFFFF"/>
                <w:sz w:val="18"/>
              </w:rPr>
              <w:t>Benefit</w:t>
            </w:r>
          </w:p>
        </w:tc>
        <w:tc>
          <w:tcPr>
            <w:tcW w:type="dxa" w:w="2909"/>
            <w:shd w:val="clear" w:color="auto" w:fill="6B3524"/>
          </w:tcPr>
          <w:p>
            <w:pPr>
              <w:spacing w:after="40"/>
            </w:pPr>
            <w:r>
              <w:rPr>
                <w:b/>
                <w:color w:val="FFFFFF"/>
                <w:sz w:val="18"/>
              </w:rPr>
            </w:r>
            <w:r>
              <w:rPr>
                <w:b/>
                <w:i w:val="0"/>
                <w:color w:val="FFFFFF"/>
                <w:sz w:val="18"/>
              </w:rPr>
              <w:t>Adverse effects</w:t>
            </w:r>
          </w:p>
        </w:tc>
        <w:tc>
          <w:tcPr>
            <w:tcW w:type="dxa" w:w="2909"/>
            <w:shd w:val="clear" w:color="auto" w:fill="6B3524"/>
          </w:tcPr>
          <w:p>
            <w:pPr>
              <w:spacing w:after="40"/>
            </w:pPr>
            <w:r>
              <w:rPr>
                <w:b/>
                <w:color w:val="FFFFFF"/>
                <w:sz w:val="18"/>
              </w:rPr>
            </w:r>
            <w:r>
              <w:rPr>
                <w:b/>
                <w:i w:val="0"/>
                <w:color w:val="FFFFFF"/>
                <w:sz w:val="18"/>
              </w:rPr>
              <w:t>Contraindications and cautions</w:t>
            </w:r>
          </w:p>
        </w:tc>
      </w:tr>
      <w:tr>
        <w:tc>
          <w:tcPr>
            <w:tcW w:type="dxa" w:w="2909"/>
          </w:tcPr>
          <w:p>
            <w:pPr>
              <w:spacing w:after="40"/>
            </w:pPr>
            <w:r>
              <w:rPr>
                <w:sz w:val="18"/>
              </w:rPr>
            </w:r>
            <w:r>
              <w:rPr>
                <w:b/>
                <w:i w:val="0"/>
                <w:sz w:val="18"/>
              </w:rPr>
              <w:t>Aspirin</w:t>
            </w:r>
            <w:r>
              <w:rPr>
                <w:b w:val="0"/>
                <w:i w:val="0"/>
                <w:sz w:val="18"/>
              </w:rPr>
              <w:t xml:space="preserve"> [slides 52, 53]</w:t>
            </w:r>
          </w:p>
        </w:tc>
        <w:tc>
          <w:tcPr>
            <w:tcW w:type="dxa" w:w="2909"/>
          </w:tcPr>
          <w:p>
            <w:pPr>
              <w:spacing w:after="40"/>
            </w:pPr>
            <w:r>
              <w:rPr>
                <w:sz w:val="18"/>
              </w:rPr>
            </w:r>
            <w:r>
              <w:rPr>
                <w:b w:val="0"/>
                <w:i w:val="0"/>
                <w:sz w:val="18"/>
              </w:rPr>
              <w:t xml:space="preserve">Used at the </w:t>
            </w:r>
            <w:r>
              <w:rPr>
                <w:b/>
                <w:i w:val="0"/>
                <w:sz w:val="18"/>
              </w:rPr>
              <w:t>first signs of chest pain</w:t>
            </w:r>
            <w:r>
              <w:rPr>
                <w:b w:val="0"/>
                <w:i w:val="0"/>
                <w:sz w:val="18"/>
              </w:rPr>
              <w:t xml:space="preserve">; </w:t>
            </w:r>
            <w:r>
              <w:rPr>
                <w:b/>
                <w:i w:val="0"/>
                <w:sz w:val="18"/>
              </w:rPr>
              <w:t>chewed and swallowed</w:t>
            </w:r>
          </w:p>
        </w:tc>
        <w:tc>
          <w:tcPr>
            <w:tcW w:type="dxa" w:w="2909"/>
          </w:tcPr>
          <w:p>
            <w:pPr>
              <w:spacing w:after="40"/>
            </w:pPr>
            <w:r>
              <w:rPr>
                <w:sz w:val="18"/>
              </w:rPr>
            </w:r>
            <w:r>
              <w:rPr>
                <w:b w:val="0"/>
                <w:i w:val="0"/>
                <w:sz w:val="18"/>
              </w:rPr>
              <w:t>Reduces mortality and reinfarction; decreases recurrent ischemia, stroke and cardiac death</w:t>
            </w:r>
          </w:p>
        </w:tc>
        <w:tc>
          <w:tcPr>
            <w:tcW w:type="dxa" w:w="2909"/>
          </w:tcPr>
          <w:p>
            <w:pPr>
              <w:spacing w:after="40"/>
            </w:pPr>
            <w:r>
              <w:rPr>
                <w:sz w:val="18"/>
              </w:rPr>
            </w:r>
            <w:r>
              <w:rPr>
                <w:b w:val="0"/>
                <w:i w:val="0"/>
                <w:sz w:val="18"/>
              </w:rPr>
              <w:t>Not listed on these slides</w:t>
            </w:r>
          </w:p>
        </w:tc>
        <w:tc>
          <w:tcPr>
            <w:tcW w:type="dxa" w:w="2909"/>
          </w:tcPr>
          <w:p>
            <w:pPr>
              <w:spacing w:after="40"/>
            </w:pPr>
            <w:r>
              <w:rPr>
                <w:sz w:val="18"/>
              </w:rPr>
            </w:r>
            <w:r>
              <w:rPr>
                <w:b/>
                <w:i w:val="0"/>
                <w:sz w:val="18"/>
              </w:rPr>
              <w:t>Allergy, recent gastrointestinal bleed, recent intracranial hemorrhage</w:t>
            </w:r>
          </w:p>
        </w:tc>
      </w:tr>
      <w:tr>
        <w:tc>
          <w:tcPr>
            <w:tcW w:type="dxa" w:w="2909"/>
          </w:tcPr>
          <w:p>
            <w:pPr>
              <w:spacing w:after="40"/>
            </w:pPr>
            <w:r>
              <w:rPr>
                <w:sz w:val="18"/>
              </w:rPr>
            </w:r>
            <w:r>
              <w:rPr>
                <w:b/>
                <w:i w:val="0"/>
                <w:sz w:val="18"/>
              </w:rPr>
              <w:t>Nitrates</w:t>
            </w:r>
            <w:r>
              <w:rPr>
                <w:b w:val="0"/>
                <w:i w:val="0"/>
                <w:sz w:val="18"/>
              </w:rPr>
              <w:t xml:space="preserve"> [slides 52, 54]</w:t>
            </w:r>
          </w:p>
        </w:tc>
        <w:tc>
          <w:tcPr>
            <w:tcW w:type="dxa" w:w="2909"/>
          </w:tcPr>
          <w:p>
            <w:pPr>
              <w:spacing w:after="40"/>
            </w:pPr>
            <w:r>
              <w:rPr>
                <w:sz w:val="18"/>
              </w:rPr>
            </w:r>
            <w:r>
              <w:rPr>
                <w:b w:val="0"/>
                <w:i w:val="0"/>
                <w:sz w:val="18"/>
              </w:rPr>
              <w:t xml:space="preserve">Start with </w:t>
            </w:r>
            <w:r>
              <w:rPr>
                <w:b/>
                <w:i w:val="0"/>
                <w:sz w:val="18"/>
              </w:rPr>
              <w:t>sublingual</w:t>
            </w:r>
            <w:r>
              <w:rPr>
                <w:b w:val="0"/>
                <w:i w:val="0"/>
                <w:sz w:val="18"/>
              </w:rPr>
              <w:t xml:space="preserve"> therapy, then an </w:t>
            </w:r>
            <w:r>
              <w:rPr>
                <w:b/>
                <w:i w:val="0"/>
                <w:sz w:val="18"/>
              </w:rPr>
              <w:t>intravenous infusion</w:t>
            </w:r>
            <w:r>
              <w:rPr>
                <w:b w:val="0"/>
                <w:i w:val="0"/>
                <w:sz w:val="18"/>
              </w:rPr>
              <w:t xml:space="preserve"> once in the hospital</w:t>
            </w:r>
          </w:p>
        </w:tc>
        <w:tc>
          <w:tcPr>
            <w:tcW w:type="dxa" w:w="2909"/>
          </w:tcPr>
          <w:p>
            <w:pPr>
              <w:spacing w:after="40"/>
            </w:pPr>
            <w:r>
              <w:rPr>
                <w:sz w:val="18"/>
              </w:rPr>
            </w:r>
            <w:r>
              <w:rPr>
                <w:b/>
                <w:i w:val="0"/>
                <w:sz w:val="18"/>
              </w:rPr>
              <w:t>No mortality benefit and no improvement in outcomes; relief of chest pain only</w:t>
            </w:r>
          </w:p>
        </w:tc>
        <w:tc>
          <w:tcPr>
            <w:tcW w:type="dxa" w:w="2909"/>
          </w:tcPr>
          <w:p>
            <w:pPr>
              <w:spacing w:after="40"/>
            </w:pPr>
            <w:r>
              <w:rPr>
                <w:sz w:val="18"/>
              </w:rPr>
            </w:r>
            <w:r>
              <w:rPr>
                <w:b/>
                <w:i w:val="0"/>
                <w:sz w:val="18"/>
              </w:rPr>
              <w:t>Hypotension, headache, reflex tachycardia</w:t>
            </w:r>
          </w:p>
        </w:tc>
        <w:tc>
          <w:tcPr>
            <w:tcW w:type="dxa" w:w="2909"/>
          </w:tcPr>
          <w:p>
            <w:pPr>
              <w:spacing w:after="40"/>
            </w:pPr>
            <w:r>
              <w:rPr>
                <w:sz w:val="18"/>
              </w:rPr>
            </w:r>
            <w:r>
              <w:rPr>
                <w:b/>
                <w:i w:val="0"/>
                <w:sz w:val="18"/>
              </w:rPr>
              <w:t>Hypotension; phosphodiesterase inhibitors</w:t>
            </w:r>
          </w:p>
        </w:tc>
      </w:tr>
      <w:tr>
        <w:tc>
          <w:tcPr>
            <w:tcW w:type="dxa" w:w="2909"/>
          </w:tcPr>
          <w:p>
            <w:pPr>
              <w:spacing w:after="40"/>
            </w:pPr>
            <w:r>
              <w:rPr>
                <w:sz w:val="18"/>
              </w:rPr>
            </w:r>
            <w:r>
              <w:rPr>
                <w:b/>
                <w:i w:val="0"/>
                <w:sz w:val="18"/>
              </w:rPr>
              <w:t>Beta blockers</w:t>
            </w:r>
            <w:r>
              <w:rPr>
                <w:b w:val="0"/>
                <w:i w:val="0"/>
                <w:sz w:val="18"/>
              </w:rPr>
              <w:t xml:space="preserve"> [slides 52, 55]</w:t>
            </w:r>
          </w:p>
        </w:tc>
        <w:tc>
          <w:tcPr>
            <w:tcW w:type="dxa" w:w="2909"/>
          </w:tcPr>
          <w:p>
            <w:pPr>
              <w:spacing w:after="40"/>
            </w:pPr>
            <w:r>
              <w:rPr>
                <w:sz w:val="18"/>
              </w:rPr>
            </w:r>
            <w:r>
              <w:rPr>
                <w:b w:val="0"/>
                <w:i w:val="0"/>
                <w:sz w:val="18"/>
              </w:rPr>
              <w:t>Intravenous, followed by oral</w:t>
            </w:r>
          </w:p>
        </w:tc>
        <w:tc>
          <w:tcPr>
            <w:tcW w:type="dxa" w:w="2909"/>
          </w:tcPr>
          <w:p>
            <w:pPr>
              <w:spacing w:after="40"/>
            </w:pPr>
            <w:r>
              <w:rPr>
                <w:sz w:val="18"/>
              </w:rPr>
            </w:r>
            <w:r>
              <w:rPr>
                <w:b w:val="0"/>
                <w:i w:val="0"/>
                <w:sz w:val="18"/>
              </w:rPr>
              <w:t>Reduce early and late mortality, infarct size, heart failure and sudden cardiac death</w:t>
            </w:r>
          </w:p>
        </w:tc>
        <w:tc>
          <w:tcPr>
            <w:tcW w:type="dxa" w:w="2909"/>
          </w:tcPr>
          <w:p>
            <w:pPr>
              <w:spacing w:after="40"/>
            </w:pPr>
            <w:r>
              <w:rPr>
                <w:sz w:val="18"/>
              </w:rPr>
            </w:r>
            <w:r>
              <w:rPr>
                <w:b w:val="0"/>
                <w:i w:val="0"/>
                <w:sz w:val="18"/>
              </w:rPr>
              <w:t>Not listed on these slides</w:t>
            </w:r>
          </w:p>
        </w:tc>
        <w:tc>
          <w:tcPr>
            <w:tcW w:type="dxa" w:w="2909"/>
          </w:tcPr>
          <w:p>
            <w:pPr>
              <w:spacing w:after="40"/>
            </w:pPr>
            <w:r>
              <w:rPr>
                <w:sz w:val="18"/>
              </w:rPr>
            </w:r>
            <w:r>
              <w:rPr>
                <w:b w:val="0"/>
                <w:i w:val="0"/>
                <w:sz w:val="18"/>
              </w:rPr>
              <w:t xml:space="preserve">Caution with </w:t>
            </w:r>
            <w:r>
              <w:rPr>
                <w:b/>
                <w:i w:val="0"/>
                <w:sz w:val="18"/>
              </w:rPr>
              <w:t>bradycardia or hypotension, heart block, and severe reactive airway disease</w:t>
            </w:r>
          </w:p>
        </w:tc>
      </w:tr>
      <w:tr>
        <w:tc>
          <w:tcPr>
            <w:tcW w:type="dxa" w:w="2909"/>
          </w:tcPr>
          <w:p>
            <w:pPr>
              <w:spacing w:after="40"/>
            </w:pPr>
            <w:r>
              <w:rPr>
                <w:sz w:val="18"/>
              </w:rPr>
            </w:r>
            <w:r>
              <w:rPr>
                <w:b/>
                <w:i w:val="0"/>
                <w:sz w:val="18"/>
              </w:rPr>
              <w:t>Morphine</w:t>
            </w:r>
            <w:r>
              <w:rPr>
                <w:b w:val="0"/>
                <w:i w:val="0"/>
                <w:sz w:val="18"/>
              </w:rPr>
              <w:t xml:space="preserve"> [slide 56]</w:t>
            </w:r>
          </w:p>
        </w:tc>
        <w:tc>
          <w:tcPr>
            <w:tcW w:type="dxa" w:w="2909"/>
          </w:tcPr>
          <w:p>
            <w:pPr>
              <w:spacing w:after="40"/>
            </w:pPr>
            <w:r>
              <w:rPr>
                <w:sz w:val="18"/>
              </w:rPr>
            </w:r>
            <w:r>
              <w:rPr>
                <w:b w:val="0"/>
                <w:i w:val="0"/>
                <w:sz w:val="18"/>
              </w:rPr>
              <w:t xml:space="preserve">An opioid analgesic for </w:t>
            </w:r>
            <w:r>
              <w:rPr>
                <w:b/>
                <w:i w:val="0"/>
                <w:sz w:val="18"/>
              </w:rPr>
              <w:t>chest pain that does not respond to nitrates</w:t>
            </w:r>
            <w:r>
              <w:rPr>
                <w:b w:val="0"/>
                <w:i w:val="0"/>
                <w:sz w:val="18"/>
              </w:rPr>
              <w:t>; used in ST-elevation myocardial infarction</w:t>
            </w:r>
          </w:p>
        </w:tc>
        <w:tc>
          <w:tcPr>
            <w:tcW w:type="dxa" w:w="2909"/>
          </w:tcPr>
          <w:p>
            <w:pPr>
              <w:spacing w:after="40"/>
            </w:pPr>
            <w:r>
              <w:rPr>
                <w:sz w:val="18"/>
              </w:rPr>
            </w:r>
            <w:r>
              <w:rPr>
                <w:b w:val="0"/>
                <w:i w:val="0"/>
                <w:sz w:val="18"/>
              </w:rPr>
              <w:t>Analgesic for chest pain [slide 56]</w:t>
            </w:r>
          </w:p>
        </w:tc>
        <w:tc>
          <w:tcPr>
            <w:tcW w:type="dxa" w:w="2909"/>
          </w:tcPr>
          <w:p>
            <w:pPr>
              <w:spacing w:after="40"/>
            </w:pPr>
            <w:r>
              <w:rPr>
                <w:sz w:val="18"/>
              </w:rPr>
            </w:r>
            <w:r>
              <w:rPr>
                <w:b/>
                <w:i w:val="0"/>
                <w:sz w:val="18"/>
              </w:rPr>
              <w:t>Hypotension, allergy</w:t>
            </w:r>
          </w:p>
        </w:tc>
        <w:tc>
          <w:tcPr>
            <w:tcW w:type="dxa" w:w="2909"/>
          </w:tcPr>
          <w:p>
            <w:pPr>
              <w:spacing w:after="40"/>
            </w:pPr>
            <w:r>
              <w:rPr>
                <w:sz w:val="18"/>
              </w:rPr>
            </w:r>
            <w:r>
              <w:rPr>
                <w:b w:val="0"/>
                <w:i w:val="0"/>
                <w:sz w:val="18"/>
              </w:rPr>
              <w:t xml:space="preserve">May have </w:t>
            </w:r>
            <w:r>
              <w:rPr>
                <w:b/>
                <w:i w:val="0"/>
                <w:sz w:val="18"/>
              </w:rPr>
              <w:t>increased mortality in unstable angina and non-ST-elevation myocardial infarction</w:t>
            </w:r>
            <w:r>
              <w:rPr>
                <w:b w:val="0"/>
                <w:i w:val="0"/>
                <w:sz w:val="18"/>
              </w:rPr>
              <w:t>; its use is controversial</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54:21 of the recording: </w:t>
            </w:r>
            <w:r>
              <w:rPr>
                <w:b w:val="0"/>
                <w:i/>
              </w:rPr>
              <w:t>“Aspirin contraindications would just be different kind of like GI bleed or intracranial hemorrhage… should be one of the absolute got to use it, if you have an allergy and couldn’t receive aspirin that’s where those ADP blockers like clopidogrel come into play.”</w:t>
            </w:r>
          </w:p>
          <w:p>
            <w:pPr>
              <w:spacing w:after="120"/>
            </w:pPr>
            <w:r>
              <w:rPr>
                <w:b w:val="0"/>
                <w:i w:val="0"/>
                <w:highlight w:val="yellow"/>
              </w:rPr>
              <w:t>Aspirin first</w:t>
            </w:r>
            <w:r>
              <w:rPr>
                <w:b w:val="0"/>
                <w:i w:val="0"/>
              </w:rPr>
              <w:t>, chewed and swallowed at the first signs; contraindications are allergy, gastrointestinal bleeding and intracranial hemorrhage; clopidogrel is the alternative [slides 37, 52 and 53].</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53:58 of the recording: </w:t>
            </w:r>
            <w:r>
              <w:rPr>
                <w:b w:val="0"/>
                <w:i/>
              </w:rPr>
              <w:t>“Nitrates only help with symptom relief… they don’t do anything for outcomes.”</w:t>
            </w:r>
          </w:p>
          <w:p>
            <w:pPr>
              <w:spacing w:after="120"/>
            </w:pPr>
            <w:r>
              <w:rPr>
                <w:b w:val="0"/>
                <w:i w:val="0"/>
                <w:highlight w:val="yellow"/>
              </w:rPr>
              <w:t>Nitrates give pain relief with no mortality benefit</w:t>
            </w:r>
            <w:r>
              <w:rPr>
                <w:b w:val="0"/>
                <w:i w:val="0"/>
              </w:rPr>
              <w:t xml:space="preserve"> in acute coronary syndrome: sublingual first, then an intravenous infusion in hospital [slides 52 and 54].</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55:17 of the recording: </w:t>
            </w:r>
            <w:r>
              <w:rPr>
                <w:b w:val="0"/>
                <w:i/>
              </w:rPr>
              <w:t>“Beta blockers will start IV initially till we get them under control and then we can switch over to PO, just know there’s going to be contraindicated if they’re already hypotensive or bradycardic or if they’re having heart block… and then you know they have severe reactive airway disease, something like a cardioselective beta blocker would make sense.”</w:t>
            </w:r>
          </w:p>
          <w:p>
            <w:pPr>
              <w:spacing w:after="120"/>
            </w:pPr>
            <w:r>
              <w:rPr>
                <w:b w:val="0"/>
                <w:i w:val="0"/>
              </w:rPr>
              <w:t xml:space="preserve">Cautions: </w:t>
            </w:r>
            <w:r>
              <w:rPr>
                <w:b w:val="0"/>
                <w:i w:val="0"/>
                <w:highlight w:val="yellow"/>
              </w:rPr>
              <w:t>hypotension, bradycardia, heart block, severe reactive airway disease</w:t>
            </w:r>
            <w:r>
              <w:rPr>
                <w:b w:val="0"/>
                <w:i w:val="0"/>
              </w:rPr>
              <w:t xml:space="preserve"> (a cardioselective agent would make sense) [slide 55]. </w:t>
            </w:r>
            <w:r>
              <w:rPr>
                <w:b/>
                <w:i w:val="0"/>
              </w:rPr>
              <w:t>He teaches intravenous first, then oral, as the course rule:</w:t>
            </w:r>
            <w:r>
              <w:rPr>
                <w:b w:val="0"/>
                <w:i w:val="0"/>
              </w:rPr>
              <w:t xml:space="preserve"> learn that sequence for the exam; the box below says where current guidelines differ.</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55:54 of the recording: </w:t>
            </w:r>
            <w:r>
              <w:rPr>
                <w:b w:val="0"/>
                <w:i/>
              </w:rPr>
              <w:t>“Morphine is not really shown to have any benefits on outcomes but it does help out with the pain… if they’re having pain unresponsive to nitrates then you would initiate an opioid like morphine… some controversy in using it for unstable angina and [NSTEMI], but for the most part for STEMI is perfectly fine.”</w:t>
            </w:r>
          </w:p>
          <w:p>
            <w:pPr>
              <w:spacing w:after="120"/>
            </w:pPr>
            <w:r>
              <w:rPr>
                <w:b w:val="0"/>
                <w:i w:val="0"/>
                <w:highlight w:val="yellow"/>
              </w:rPr>
              <w:t>Morphine treats the pain only</w:t>
            </w:r>
            <w:r>
              <w:rPr>
                <w:b w:val="0"/>
                <w:i w:val="0"/>
              </w:rPr>
              <w:t>; it is reserved for pain that does not respond to nitrates, fine in ST-elevation myocardial infarction and controversial in unstable angina and non-ST-elevation myocardial infarction [slide 56].</w:t>
            </w:r>
          </w:p>
        </w:tc>
      </w:tr>
    </w:tbl>
    <w:p>
      <w:pPr>
        <w:spacing w:after="80"/>
      </w:pPr>
    </w:p>
    <w:p>
      <w:pPr>
        <w:spacing w:after="120"/>
      </w:pPr>
      <w:r>
        <w:rPr>
          <w:b w:val="0"/>
          <w:i w:val="0"/>
        </w:rPr>
        <w:t xml:space="preserve">Because the beta blocker cautions in acute coronary syndrome are bradycardia and hypotension [slide 55], </w:t>
      </w:r>
      <w:r>
        <w:rPr>
          <w:b/>
          <w:i w:val="0"/>
        </w:rPr>
        <w:t>heart rate and blood pressure are the findings to check before and after a beta blocker is given</w:t>
      </w:r>
      <w:r>
        <w:rPr>
          <w:b w:val="0"/>
          <w:i w:val="0"/>
        </w:rPr>
        <w:t xml:space="preserve"> (read together with slide 55).</w:t>
      </w:r>
    </w:p>
    <w:p>
      <w:pPr>
        <w:spacing w:after="120"/>
      </w:pPr>
      <w:r>
        <w:rPr>
          <w:b w:val="0"/>
          <w:i w:val="0"/>
        </w:rPr>
        <w:t xml:space="preserve">The slides separate what each drug does for </w:t>
      </w:r>
      <w:r>
        <w:rPr>
          <w:b/>
          <w:i w:val="0"/>
        </w:rPr>
        <w:t>the patient’s survival</w:t>
      </w:r>
      <w:r>
        <w:rPr>
          <w:b w:val="0"/>
          <w:i w:val="0"/>
        </w:rPr>
        <w:t xml:space="preserve"> from what it does for </w:t>
      </w:r>
      <w:r>
        <w:rPr>
          <w:b/>
          <w:i w:val="0"/>
        </w:rPr>
        <w:t>the patient’s pain</w:t>
      </w:r>
      <w:r>
        <w:rPr>
          <w:b w:val="0"/>
          <w:i w:val="0"/>
        </w:rPr>
        <w:t xml:space="preserve">: aspirin and beta blockers change outcomes; </w:t>
      </w:r>
      <w:r>
        <w:rPr>
          <w:b/>
          <w:i w:val="0"/>
        </w:rPr>
        <w:t>nitrates only relieve pain</w:t>
      </w:r>
      <w:r>
        <w:rPr>
          <w:b w:val="0"/>
          <w:i w:val="0"/>
        </w:rPr>
        <w:t xml:space="preserve"> [slides 52 and 54]; morphine is held back for pain that nitrates do not relieve [slide 56]. Slide 52 says beta blockers cut the risk of myocardial infarction among unstable angina patients by 13 percent and cut deaths in myocardial infarction patients by 40 percent.</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Course rule versus current practice — beta blockers in acute coronary syndrome.</w:t>
            </w:r>
            <w:r>
              <w:rPr>
                <w:b w:val="0"/>
                <w:i w:val="0"/>
              </w:rPr>
              <w:t xml:space="preserve"> Slide 55 says “intravenous followed by oral,” and slides 52 and 55 credit beta blockers with a reduction in </w:t>
            </w:r>
            <w:r>
              <w:rPr>
                <w:b/>
                <w:i w:val="0"/>
              </w:rPr>
              <w:t>early and late mortality</w:t>
            </w:r>
            <w:r>
              <w:rPr>
                <w:b w:val="0"/>
                <w:i w:val="0"/>
              </w:rPr>
              <w:t xml:space="preserve">, infarct size, heart failure and sudden cardiac death. </w:t>
            </w:r>
            <w:r>
              <w:rPr>
                <w:b/>
                <w:i w:val="0"/>
              </w:rPr>
              <w:t>Learn the intravenous-then-oral sequence and the early and late mortality benefit as the exam answer</w:t>
            </w:r>
            <w:r>
              <w:rPr>
                <w:b w:val="0"/>
                <w:i w:val="0"/>
              </w:rPr>
              <w:t xml:space="preserve"> (the percentages stay unlearned). Current guidance differs: it favors an oral beta blocker within the first 24 hours and avoids early intravenous dosing in patients with signs of heart failure, low output or a risk of shock, keeping the intravenous route for ongoing ischemia or high blood pressure without those contraindications. The mortality figures come from older trials, and the benefit that holds today is mainly long-term use after a myocardial infarction, most clearly with reduced ventricular function; early beta blockade can worsen heart failure and shock. The caution list on the slide is the part that holds in both.</w:t>
            </w:r>
          </w:p>
        </w:tc>
      </w:tr>
    </w:tbl>
    <w:p>
      <w:pPr>
        <w:spacing w:after="80"/>
      </w:pPr>
    </w:p>
    <w:p>
      <w:pPr>
        <w:spacing w:after="120"/>
      </w:pPr>
      <w:r>
        <w:rPr>
          <w:b w:val="0"/>
          <w:i w:val="0"/>
        </w:rPr>
        <w:t>Also tested</w:t>
      </w:r>
    </w:p>
    <w:p>
      <w:pPr>
        <w:pStyle w:val="ListBullet"/>
        <w:spacing w:after="40"/>
      </w:pPr>
      <w:r>
        <w:rPr>
          <w:b/>
          <w:i w:val="0"/>
          <w:sz w:val="20"/>
        </w:rPr>
        <w:t>Beta blockers in acute coronary syndrome: intravenously first, then orally.</w:t>
      </w:r>
      <w:r>
        <w:rPr>
          <w:b w:val="0"/>
          <w:i w:val="0"/>
          <w:sz w:val="20"/>
        </w:rPr>
        <w:t xml:space="preserve"> The traditional sequence is an intravenous beta blocker followed by an oral one. Current guidelines favor oral therapy within the first day and avoid the intravenous route when there is heart failure, low output or a risk of shock.</w:t>
      </w:r>
    </w:p>
    <w:p>
      <w:pPr>
        <w:pStyle w:val="Heading2"/>
        <w:spacing w:before="200" w:after="100"/>
      </w:pPr>
      <w:r>
        <w:rPr>
          <w:rFonts w:ascii="Georgia" w:hAnsi="Georgia"/>
          <w:color w:val="6B3524"/>
        </w:rPr>
        <w:t>5.8 · Objectives 1–7 — Fibrinolytics and other antithrombotic drugs</w:t>
      </w:r>
    </w:p>
    <w:p>
      <w:pPr>
        <w:pStyle w:val="Heading3"/>
        <w:spacing w:before="200" w:after="100"/>
      </w:pPr>
      <w:r>
        <w:rPr>
          <w:rFonts w:ascii="Georgia" w:hAnsi="Georgia"/>
          <w:color w:val="6B3524"/>
        </w:rPr>
        <w:t>The fibrinolytic system [slides 57 and 58]</w:t>
      </w:r>
    </w:p>
    <w:p>
      <w:pPr>
        <w:spacing w:after="120"/>
      </w:pPr>
      <w:r>
        <w:rPr>
          <w:b w:val="0"/>
          <w:i w:val="0"/>
        </w:rPr>
        <w:t xml:space="preserve">The figure shows </w:t>
      </w:r>
      <w:r>
        <w:rPr>
          <w:b/>
          <w:i w:val="0"/>
        </w:rPr>
        <w:t>plasminogen</w:t>
      </w:r>
      <w:r>
        <w:rPr>
          <w:b w:val="0"/>
          <w:i w:val="0"/>
        </w:rPr>
        <w:t xml:space="preserve"> being converted to </w:t>
      </w:r>
      <w:r>
        <w:rPr>
          <w:b/>
          <w:i w:val="0"/>
        </w:rPr>
        <w:t>plasmin</w:t>
      </w:r>
      <w:r>
        <w:rPr>
          <w:b w:val="0"/>
          <w:i w:val="0"/>
        </w:rPr>
        <w:t xml:space="preserve">, and plasmin breaking fibrin into fibrin products [slide 57]. </w:t>
      </w:r>
      <w:r>
        <w:rPr>
          <w:b/>
          <w:i w:val="0"/>
        </w:rPr>
        <w:t>Tissue plasminogen activator</w:t>
      </w:r>
      <w:r>
        <w:rPr>
          <w:b w:val="0"/>
          <w:i w:val="0"/>
        </w:rPr>
        <w:t xml:space="preserve"> drives the first step [slide 57]. The brakes on the system are </w:t>
      </w:r>
      <w:r>
        <w:rPr>
          <w:b/>
          <w:i w:val="0"/>
        </w:rPr>
        <w:t>plasminogen activator inhibitor-1, plasminogen activator inhibitor-2, alpha-2 antiplasmin and thrombin-activatable fibrinolysis inhibitor</w:t>
      </w:r>
      <w:r>
        <w:rPr>
          <w:b w:val="0"/>
          <w:i w:val="0"/>
        </w:rPr>
        <w:t xml:space="preserve"> [slide 57]. All the fibrinolytic drugs act </w:t>
      </w:r>
      <w:r>
        <w:rPr>
          <w:b/>
          <w:i w:val="0"/>
        </w:rPr>
        <w:t>directly or indirectly to activate the conversion of plasminogen to plasmin</w:t>
      </w:r>
      <w:r>
        <w:rPr>
          <w:b w:val="0"/>
          <w:i w:val="0"/>
        </w:rPr>
        <w:t xml:space="preserve"> [slide 58]. Plasminogen is inactive in the circulation and is converted to plasmin by tissue plasminogen activator [slide 58]. Plasmin lyses fibrin and fibrinogen [slide 58].</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58:27 of the recording: </w:t>
            </w:r>
            <w:r>
              <w:rPr>
                <w:b w:val="0"/>
                <w:i/>
              </w:rPr>
              <w:t>“Streptokinase, kind of an older one we’ve used in the past, I don’t want you to worry so much about that, but I do want to focus on this picture here… plasminogen coming in with streptokinase to form a complex… a tissue plasminogen activator, which is what we naturally produce, could do this as well.”</w:t>
            </w:r>
          </w:p>
          <w:p>
            <w:pPr>
              <w:spacing w:after="120"/>
            </w:pPr>
            <w:r>
              <w:rPr>
                <w:b/>
                <w:i w:val="0"/>
              </w:rPr>
              <w:t>Learn the picture, not the drug:</w:t>
            </w:r>
            <w:r>
              <w:rPr>
                <w:b w:val="0"/>
                <w:i w:val="0"/>
              </w:rPr>
              <w:t xml:space="preserve"> plasminogen is converted to plasmin, by a streptokinase complex or by tissue plasminogen activator, which the body also makes [slides 59 and 60].</w:t>
            </w:r>
          </w:p>
        </w:tc>
      </w:tr>
    </w:tbl>
    <w:p>
      <w:pPr>
        <w:spacing w:after="80"/>
      </w:pPr>
    </w:p>
    <w:p>
      <w:pPr>
        <w:pStyle w:val="Heading3"/>
        <w:spacing w:before="200" w:after="100"/>
      </w:pPr>
      <w:r>
        <w:rPr>
          <w:rFonts w:ascii="Georgia" w:hAnsi="Georgia"/>
          <w:color w:val="6B3524"/>
        </w:rPr>
        <w:t>Mechanisms by agent [slides 59 to 61]</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Agent</w:t>
            </w:r>
          </w:p>
        </w:tc>
        <w:tc>
          <w:tcPr>
            <w:tcW w:type="dxa" w:w="7272"/>
            <w:shd w:val="clear" w:color="auto" w:fill="6B3524"/>
          </w:tcPr>
          <w:p>
            <w:pPr>
              <w:spacing w:after="40"/>
            </w:pPr>
            <w:r>
              <w:rPr>
                <w:b/>
                <w:color w:val="FFFFFF"/>
                <w:sz w:val="18"/>
              </w:rPr>
            </w:r>
            <w:r>
              <w:rPr>
                <w:b/>
                <w:i w:val="0"/>
                <w:color w:val="FFFFFF"/>
                <w:sz w:val="18"/>
              </w:rPr>
              <w:t>How it works</w:t>
            </w:r>
          </w:p>
        </w:tc>
      </w:tr>
      <w:tr>
        <w:tc>
          <w:tcPr>
            <w:tcW w:type="dxa" w:w="7272"/>
          </w:tcPr>
          <w:p>
            <w:pPr>
              <w:spacing w:after="40"/>
            </w:pPr>
            <w:r>
              <w:rPr>
                <w:sz w:val="18"/>
              </w:rPr>
            </w:r>
            <w:r>
              <w:rPr>
                <w:b/>
                <w:i w:val="0"/>
                <w:sz w:val="18"/>
              </w:rPr>
              <w:t>Streptokinase</w:t>
            </w:r>
          </w:p>
        </w:tc>
        <w:tc>
          <w:tcPr>
            <w:tcW w:type="dxa" w:w="7272"/>
          </w:tcPr>
          <w:p>
            <w:pPr>
              <w:spacing w:after="40"/>
            </w:pPr>
            <w:r>
              <w:rPr>
                <w:sz w:val="18"/>
              </w:rPr>
            </w:r>
            <w:r>
              <w:rPr>
                <w:b w:val="0"/>
                <w:i w:val="0"/>
                <w:sz w:val="18"/>
              </w:rPr>
              <w:t xml:space="preserve">Forms a </w:t>
            </w:r>
            <w:r>
              <w:rPr>
                <w:b/>
                <w:i w:val="0"/>
                <w:sz w:val="18"/>
              </w:rPr>
              <w:t>stable 1:1 complex with plasminogen</w:t>
            </w:r>
            <w:r>
              <w:rPr>
                <w:b w:val="0"/>
                <w:i w:val="0"/>
                <w:sz w:val="18"/>
              </w:rPr>
              <w:t>; the complex exposes a catalytic site and converts other plasminogen to plasmin [slides 59 and 60]</w:t>
            </w:r>
          </w:p>
        </w:tc>
      </w:tr>
      <w:tr>
        <w:tc>
          <w:tcPr>
            <w:tcW w:type="dxa" w:w="7272"/>
          </w:tcPr>
          <w:p>
            <w:pPr>
              <w:spacing w:after="40"/>
            </w:pPr>
            <w:r>
              <w:rPr>
                <w:sz w:val="18"/>
              </w:rPr>
            </w:r>
            <w:r>
              <w:rPr>
                <w:b/>
                <w:i w:val="0"/>
                <w:sz w:val="18"/>
              </w:rPr>
              <w:t>Urokinase</w:t>
            </w:r>
          </w:p>
        </w:tc>
        <w:tc>
          <w:tcPr>
            <w:tcW w:type="dxa" w:w="7272"/>
          </w:tcPr>
          <w:p>
            <w:pPr>
              <w:spacing w:after="40"/>
            </w:pPr>
            <w:r>
              <w:rPr>
                <w:sz w:val="18"/>
              </w:rPr>
            </w:r>
            <w:r>
              <w:rPr>
                <w:b w:val="0"/>
                <w:i w:val="0"/>
                <w:sz w:val="18"/>
              </w:rPr>
              <w:t>Converts plasminogen to plasmin directly [slide 60]</w:t>
            </w:r>
          </w:p>
        </w:tc>
      </w:tr>
      <w:tr>
        <w:tc>
          <w:tcPr>
            <w:tcW w:type="dxa" w:w="7272"/>
          </w:tcPr>
          <w:p>
            <w:pPr>
              <w:spacing w:after="40"/>
            </w:pPr>
            <w:r>
              <w:rPr>
                <w:sz w:val="18"/>
              </w:rPr>
            </w:r>
            <w:r>
              <w:rPr>
                <w:b/>
                <w:i w:val="0"/>
                <w:sz w:val="18"/>
              </w:rPr>
              <w:t>Tissue plasminogen activator (alteplase)</w:t>
            </w:r>
          </w:p>
        </w:tc>
        <w:tc>
          <w:tcPr>
            <w:tcW w:type="dxa" w:w="7272"/>
          </w:tcPr>
          <w:p>
            <w:pPr>
              <w:spacing w:after="40"/>
            </w:pPr>
            <w:r>
              <w:rPr>
                <w:sz w:val="18"/>
              </w:rPr>
            </w:r>
            <w:r>
              <w:rPr>
                <w:b/>
                <w:i w:val="0"/>
                <w:sz w:val="18"/>
              </w:rPr>
              <w:t>Binds plasminogen that is bound to fibrin</w:t>
            </w:r>
            <w:r>
              <w:rPr>
                <w:b w:val="0"/>
                <w:i w:val="0"/>
                <w:sz w:val="18"/>
              </w:rPr>
              <w:t xml:space="preserve"> and converts it to plasmin, which lyses the clot [slide 59]</w:t>
            </w:r>
          </w:p>
        </w:tc>
      </w:tr>
      <w:tr>
        <w:tc>
          <w:tcPr>
            <w:tcW w:type="dxa" w:w="7272"/>
          </w:tcPr>
          <w:p>
            <w:pPr>
              <w:spacing w:after="40"/>
            </w:pPr>
            <w:r>
              <w:rPr>
                <w:sz w:val="18"/>
              </w:rPr>
            </w:r>
            <w:r>
              <w:rPr>
                <w:b/>
                <w:i w:val="0"/>
                <w:sz w:val="18"/>
              </w:rPr>
              <w:t>Reteplase and tenecteplase</w:t>
            </w:r>
          </w:p>
        </w:tc>
        <w:tc>
          <w:tcPr>
            <w:tcW w:type="dxa" w:w="7272"/>
          </w:tcPr>
          <w:p>
            <w:pPr>
              <w:spacing w:after="40"/>
            </w:pPr>
            <w:r>
              <w:rPr>
                <w:sz w:val="18"/>
              </w:rPr>
            </w:r>
            <w:r>
              <w:rPr>
                <w:b w:val="0"/>
                <w:i w:val="0"/>
                <w:sz w:val="18"/>
              </w:rPr>
              <w:t>Act like tissue plasminogen activator on fibrin-bound plasminogen; very similar responses and adverse effects [slide 61]</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58:49 of the recording: </w:t>
            </w:r>
            <w:r>
              <w:rPr>
                <w:b w:val="0"/>
                <w:i/>
              </w:rPr>
              <w:t>“The three main ones you’re going to run into include tPA, which is a recombinant tissue plasminogen activator, and then we also have reteplase and tenecteplase… working more specifically on plasminogen that’s bound to fibrin… if it activated plasminogen all over the body you just bleed out and die.”</w:t>
            </w:r>
          </w:p>
          <w:p>
            <w:pPr>
              <w:spacing w:after="120"/>
            </w:pPr>
            <w:r>
              <w:rPr>
                <w:b w:val="0"/>
                <w:i w:val="0"/>
                <w:highlight w:val="yellow"/>
              </w:rPr>
              <w:t>Alteplase, reteplase and tenecteplase</w:t>
            </w:r>
            <w:r>
              <w:rPr>
                <w:b w:val="0"/>
                <w:i w:val="0"/>
              </w:rPr>
              <w:t xml:space="preserve"> are recombinant and aimed at plasminogen bound to fibrin, so the clot is lysed with less activation of plasminogen elsewhere (selectivity is relative; bleeding is still the main risk) [slides 59 and 61]. </w:t>
            </w:r>
            <w:r>
              <w:rPr>
                <w:b/>
                <w:i w:val="0"/>
              </w:rPr>
              <w:t>Study note:</w:t>
            </w:r>
            <w:r>
              <w:rPr>
                <w:b w:val="0"/>
                <w:i w:val="0"/>
              </w:rPr>
              <w:t xml:space="preserve"> he describes the fibrin selectivity at the class level; the deck-versus-truth box below applies to reteplase.</w:t>
            </w:r>
          </w:p>
        </w:tc>
      </w:tr>
    </w:tbl>
    <w:p>
      <w:pPr>
        <w:spacing w:after="80"/>
      </w:pPr>
    </w:p>
    <w:p>
      <w:pPr>
        <w:pStyle w:val="Heading3"/>
        <w:spacing w:before="200" w:after="100"/>
      </w:pPr>
      <w:r>
        <w:rPr>
          <w:rFonts w:ascii="Georgia" w:hAnsi="Georgia"/>
          <w:color w:val="6B3524"/>
        </w:rPr>
        <w:t>The three agents and what sets them apart [slide 64]</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Agent (brand)</w:t>
            </w:r>
          </w:p>
        </w:tc>
        <w:tc>
          <w:tcPr>
            <w:tcW w:type="dxa" w:w="7272"/>
            <w:shd w:val="clear" w:color="auto" w:fill="6B3524"/>
          </w:tcPr>
          <w:p>
            <w:pPr>
              <w:spacing w:after="40"/>
            </w:pPr>
            <w:r>
              <w:rPr>
                <w:b/>
                <w:color w:val="FFFFFF"/>
                <w:sz w:val="18"/>
              </w:rPr>
            </w:r>
            <w:r>
              <w:rPr>
                <w:b/>
                <w:i w:val="0"/>
                <w:color w:val="FFFFFF"/>
                <w:sz w:val="18"/>
              </w:rPr>
              <w:t>Source and notes</w:t>
            </w:r>
          </w:p>
        </w:tc>
      </w:tr>
      <w:tr>
        <w:tc>
          <w:tcPr>
            <w:tcW w:type="dxa" w:w="7272"/>
          </w:tcPr>
          <w:p>
            <w:pPr>
              <w:spacing w:after="40"/>
            </w:pPr>
            <w:r>
              <w:rPr>
                <w:sz w:val="18"/>
              </w:rPr>
            </w:r>
            <w:r>
              <w:rPr>
                <w:b/>
                <w:i w:val="0"/>
                <w:sz w:val="18"/>
              </w:rPr>
              <w:t>Alteplase (Activase)</w:t>
            </w:r>
          </w:p>
        </w:tc>
        <w:tc>
          <w:tcPr>
            <w:tcW w:type="dxa" w:w="7272"/>
          </w:tcPr>
          <w:p>
            <w:pPr>
              <w:spacing w:after="40"/>
            </w:pPr>
            <w:r>
              <w:rPr>
                <w:sz w:val="18"/>
              </w:rPr>
            </w:r>
            <w:r>
              <w:rPr>
                <w:b w:val="0"/>
                <w:i w:val="0"/>
                <w:sz w:val="18"/>
              </w:rPr>
              <w:t>Recombinant deoxyribonucleic acid technology in Chinese hamster ovary cells; directly activates fibrin-bound plasminogen; very expensive</w:t>
            </w:r>
          </w:p>
        </w:tc>
      </w:tr>
      <w:tr>
        <w:tc>
          <w:tcPr>
            <w:tcW w:type="dxa" w:w="7272"/>
          </w:tcPr>
          <w:p>
            <w:pPr>
              <w:spacing w:after="40"/>
            </w:pPr>
            <w:r>
              <w:rPr>
                <w:sz w:val="18"/>
              </w:rPr>
            </w:r>
            <w:r>
              <w:rPr>
                <w:b/>
                <w:i w:val="0"/>
                <w:sz w:val="18"/>
              </w:rPr>
              <w:t>Reteplase (Retavase)</w:t>
            </w:r>
          </w:p>
        </w:tc>
        <w:tc>
          <w:tcPr>
            <w:tcW w:type="dxa" w:w="7272"/>
          </w:tcPr>
          <w:p>
            <w:pPr>
              <w:spacing w:after="40"/>
            </w:pPr>
            <w:r>
              <w:rPr>
                <w:sz w:val="18"/>
              </w:rPr>
            </w:r>
            <w:r>
              <w:rPr>
                <w:b w:val="0"/>
                <w:i w:val="0"/>
                <w:sz w:val="18"/>
              </w:rPr>
              <w:t xml:space="preserve">Made in </w:t>
            </w:r>
            <w:r>
              <w:rPr>
                <w:b w:val="0"/>
                <w:i/>
                <w:sz w:val="18"/>
              </w:rPr>
              <w:t>Escherichia coli</w:t>
            </w:r>
            <w:r>
              <w:rPr>
                <w:b w:val="0"/>
                <w:i w:val="0"/>
                <w:sz w:val="18"/>
              </w:rPr>
              <w:t xml:space="preserve"> cells; recombinant</w:t>
            </w:r>
          </w:p>
        </w:tc>
      </w:tr>
      <w:tr>
        <w:tc>
          <w:tcPr>
            <w:tcW w:type="dxa" w:w="7272"/>
          </w:tcPr>
          <w:p>
            <w:pPr>
              <w:spacing w:after="40"/>
            </w:pPr>
            <w:r>
              <w:rPr>
                <w:sz w:val="18"/>
              </w:rPr>
            </w:r>
            <w:r>
              <w:rPr>
                <w:b/>
                <w:i w:val="0"/>
                <w:sz w:val="18"/>
              </w:rPr>
              <w:t>Tenecteplase (TNKase)</w:t>
            </w:r>
          </w:p>
        </w:tc>
        <w:tc>
          <w:tcPr>
            <w:tcW w:type="dxa" w:w="7272"/>
          </w:tcPr>
          <w:p>
            <w:pPr>
              <w:spacing w:after="40"/>
            </w:pPr>
            <w:r>
              <w:rPr>
                <w:sz w:val="18"/>
              </w:rPr>
            </w:r>
            <w:r>
              <w:rPr>
                <w:b w:val="0"/>
                <w:i w:val="0"/>
                <w:sz w:val="18"/>
              </w:rPr>
              <w:t>Chinese hamster ovary cells; recombinant with substituted amino acids</w:t>
            </w:r>
          </w:p>
        </w:tc>
      </w:tr>
    </w:tbl>
    <w:p>
      <w:pPr>
        <w:spacing w:after="80"/>
      </w:pPr>
    </w:p>
    <w:p>
      <w:pPr>
        <w:spacing w:after="120"/>
      </w:pPr>
      <w:r>
        <w:rPr>
          <w:b/>
          <w:i w:val="0"/>
        </w:rPr>
        <w:t>Alteplase, reteplase and tenecteplase are the three recombinant fibrinolytic agents</w:t>
      </w:r>
      <w:r>
        <w:rPr>
          <w:b w:val="0"/>
          <w:i w:val="0"/>
        </w:rPr>
        <w:t xml:space="preserve"> on slide 64; streptokinase is a bacterial protein, not recombinant [slides 59, 61 and 64]. Tenecteplase is a recombinant fibrinolytic, like alteplase and reteplase [slide 64].</w:t>
      </w:r>
    </w:p>
    <w:p>
      <w:pPr>
        <w:spacing w:after="120"/>
      </w:pPr>
      <w:r>
        <w:rPr>
          <w:b w:val="0"/>
          <w:i w:val="0"/>
        </w:rPr>
        <w:t xml:space="preserve">Reteplase and tenecteplase have a </w:t>
      </w:r>
      <w:r>
        <w:rPr>
          <w:b/>
          <w:i w:val="0"/>
        </w:rPr>
        <w:t>longer half-life than tissue plasminogen activator</w:t>
      </w:r>
      <w:r>
        <w:rPr>
          <w:b w:val="0"/>
          <w:i w:val="0"/>
        </w:rPr>
        <w:t xml:space="preserve"> and are </w:t>
      </w:r>
      <w:r>
        <w:rPr>
          <w:b/>
          <w:i w:val="0"/>
        </w:rPr>
        <w:t>relatively resistant to plasminogen activator inhibitor-1</w:t>
      </w:r>
      <w:r>
        <w:rPr>
          <w:b w:val="0"/>
          <w:i w:val="0"/>
        </w:rPr>
        <w:t xml:space="preserve"> [slide 64].</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1:02:06 of the recording: </w:t>
            </w:r>
            <w:r>
              <w:rPr>
                <w:b w:val="0"/>
                <w:i/>
              </w:rPr>
              <w:t>“They work very similar to one another, they’re all going to be expensive, they can all cause allergy and they all cause bleeding… it’s usually just based off provider preference and hospital formulary.”</w:t>
            </w:r>
          </w:p>
          <w:p>
            <w:pPr>
              <w:spacing w:after="120"/>
            </w:pPr>
            <w:r>
              <w:rPr>
                <w:b w:val="0"/>
                <w:i w:val="0"/>
                <w:highlight w:val="yellow"/>
              </w:rPr>
              <w:t>The three recombinant agents are very similar in response and adverse effects</w:t>
            </w:r>
            <w:r>
              <w:rPr>
                <w:b w:val="0"/>
                <w:i w:val="0"/>
              </w:rPr>
              <w:t>: all are expensive, all can cause allergy and all cause bleeding; the choice follows provider preference and hospital formulary [slides 61 and 62].</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val="0"/>
                <w:i w:val="0"/>
              </w:rPr>
              <w:t>Deck versus truth — fibrin affinity, the factor list and urokinase.</w:t>
            </w:r>
          </w:p>
          <w:p>
            <w:pPr>
              <w:pStyle w:val="ListBullet"/>
              <w:spacing w:after="40"/>
            </w:pPr>
            <w:r>
              <w:rPr>
                <w:b/>
                <w:i w:val="0"/>
                <w:sz w:val="20"/>
              </w:rPr>
              <w:t>Fibrin affinity.</w:t>
            </w:r>
            <w:r>
              <w:rPr>
                <w:b w:val="0"/>
                <w:i w:val="0"/>
                <w:sz w:val="20"/>
              </w:rPr>
              <w:t xml:space="preserve"> Slide 64 says reteplase and tenecteplase have “increased affinity for fibrin”, and slide 61 says tissue plasminogen activator, reteplase and tenecteplase activate “only” fibrin-bound plasminogen. True for tenecteplase. </w:t>
            </w:r>
            <w:r>
              <w:rPr>
                <w:b/>
                <w:i w:val="0"/>
                <w:sz w:val="20"/>
              </w:rPr>
              <w:t>False for reteplase, which binds fibrin less avidly than alteplase.</w:t>
            </w:r>
            <w:r>
              <w:rPr>
                <w:b w:val="0"/>
                <w:i w:val="0"/>
                <w:sz w:val="20"/>
              </w:rPr>
              <w:t xml:space="preserve"> All three favor clot-bound plasminogen, but not absolutely. Do not rely on the fibrin-affinity claim for reteplase.</w:t>
            </w:r>
          </w:p>
          <w:p>
            <w:pPr>
              <w:pStyle w:val="ListBullet"/>
              <w:spacing w:after="40"/>
            </w:pPr>
            <w:r>
              <w:rPr>
                <w:b/>
                <w:i w:val="0"/>
                <w:sz w:val="20"/>
              </w:rPr>
              <w:t>Inhibitor resistance.</w:t>
            </w:r>
            <w:r>
              <w:rPr>
                <w:b w:val="0"/>
                <w:i w:val="0"/>
                <w:sz w:val="20"/>
              </w:rPr>
              <w:t xml:space="preserve"> Slide 64 says reteplase and tenecteplase are relatively resistant to plasminogen activator inhibitor-1. That is an established property of tenecteplase; do not rely on it for reteplase.</w:t>
            </w:r>
          </w:p>
          <w:p>
            <w:pPr>
              <w:pStyle w:val="ListBullet"/>
              <w:spacing w:after="40"/>
            </w:pPr>
            <w:r>
              <w:rPr>
                <w:b/>
                <w:i w:val="0"/>
                <w:sz w:val="20"/>
              </w:rPr>
              <w:t>Factor list.</w:t>
            </w:r>
            <w:r>
              <w:rPr>
                <w:b w:val="0"/>
                <w:i w:val="0"/>
                <w:sz w:val="20"/>
              </w:rPr>
              <w:t xml:space="preserve"> Slide 58 says plasmin lyses factors II, V and VII as well as fibrin and fibrinogen. Sources differ on which clotting factors plasmin degrades; the firm point is fibrin and fibrinogen. Do not memorize the factor list.</w:t>
            </w:r>
          </w:p>
          <w:p>
            <w:pPr>
              <w:pStyle w:val="ListBullet"/>
              <w:spacing w:after="40"/>
            </w:pPr>
            <w:r>
              <w:rPr>
                <w:b/>
                <w:i w:val="0"/>
                <w:sz w:val="20"/>
              </w:rPr>
              <w:t>Antigenic reactions.</w:t>
            </w:r>
            <w:r>
              <w:rPr>
                <w:b w:val="0"/>
                <w:i w:val="0"/>
                <w:sz w:val="20"/>
              </w:rPr>
              <w:t xml:space="preserve"> Slide 62 attributes fever, chills and rash “mainly to streptokinase and urokinase”. Only </w:t>
            </w:r>
            <w:r>
              <w:rPr>
                <w:b/>
                <w:i w:val="0"/>
                <w:sz w:val="20"/>
              </w:rPr>
              <w:t>streptokinase</w:t>
            </w:r>
            <w:r>
              <w:rPr>
                <w:b w:val="0"/>
                <w:i w:val="0"/>
                <w:sz w:val="20"/>
              </w:rPr>
              <w:t xml:space="preserve"> is antigenic (it is a bacterial protein, so the body makes antibodies to it); urokinase is a human enzyme. Attribute these reactions to streptokinase only.</w:t>
            </w:r>
          </w:p>
        </w:tc>
      </w:tr>
    </w:tbl>
    <w:p>
      <w:pPr>
        <w:spacing w:after="80"/>
      </w:pPr>
    </w:p>
    <w:p>
      <w:pPr>
        <w:pStyle w:val="Heading3"/>
        <w:spacing w:before="200" w:after="100"/>
      </w:pPr>
      <w:r>
        <w:rPr>
          <w:rFonts w:ascii="Georgia" w:hAnsi="Georgia"/>
          <w:color w:val="6B3524"/>
        </w:rPr>
        <w:t>Absorption, distribution, metabolism and excretion (Objective 4)</w:t>
      </w:r>
    </w:p>
    <w:p>
      <w:pPr>
        <w:spacing w:after="120"/>
      </w:pPr>
      <w:r>
        <w:rPr>
          <w:b w:val="0"/>
          <w:i w:val="0"/>
        </w:rPr>
        <w:t xml:space="preserve">The slides give no absorption or excretion data. What they give is how each agent is made and how long it lasts: alteplase and tenecteplase come from recombinant Chinese hamster ovary cells and reteplase from recombinant </w:t>
      </w:r>
      <w:r>
        <w:rPr>
          <w:b w:val="0"/>
          <w:i/>
        </w:rPr>
        <w:t>Escherichia coli</w:t>
      </w:r>
      <w:r>
        <w:rPr>
          <w:b w:val="0"/>
          <w:i w:val="0"/>
        </w:rPr>
        <w:t xml:space="preserve"> cells [slide 64]; reteplase and tenecteplase have a longer half-life than tissue plasminogen activator [slide 64]; and streptokinase forms a stable 1:1 complex with plasminogen [slide 59].</w:t>
      </w:r>
    </w:p>
    <w:p>
      <w:pPr>
        <w:pStyle w:val="Heading3"/>
        <w:spacing w:before="200" w:after="100"/>
      </w:pPr>
      <w:r>
        <w:rPr>
          <w:rFonts w:ascii="Georgia" w:hAnsi="Georgia"/>
          <w:color w:val="6B3524"/>
        </w:rPr>
        <w:t>Adverse effects, all agents (Objectives 5 and 6) [slide 62]</w:t>
      </w:r>
    </w:p>
    <w:p>
      <w:pPr>
        <w:pStyle w:val="ListBullet"/>
        <w:spacing w:after="40"/>
      </w:pPr>
      <w:r>
        <w:rPr>
          <w:b/>
          <w:i w:val="0"/>
          <w:sz w:val="20"/>
        </w:rPr>
        <w:t>Bleeding.</w:t>
      </w:r>
    </w:p>
    <w:p>
      <w:pPr>
        <w:pStyle w:val="ListBullet"/>
        <w:spacing w:after="40"/>
      </w:pPr>
      <w:r>
        <w:rPr>
          <w:b/>
          <w:i w:val="0"/>
          <w:sz w:val="20"/>
        </w:rPr>
        <w:t>Allergic reactions</w:t>
      </w:r>
      <w:r>
        <w:rPr>
          <w:b w:val="0"/>
          <w:i w:val="0"/>
          <w:sz w:val="20"/>
        </w:rPr>
        <w:t>; fever, chills and skin rash, which belong to streptokinase (see the box above).</w:t>
      </w:r>
    </w:p>
    <w:p>
      <w:pPr>
        <w:pStyle w:val="ListBullet"/>
        <w:spacing w:after="40"/>
      </w:pPr>
      <w:r>
        <w:rPr>
          <w:b/>
          <w:i w:val="0"/>
          <w:sz w:val="20"/>
        </w:rPr>
        <w:t>Anaphylactic reactions.</w:t>
      </w:r>
    </w:p>
    <w:p>
      <w:pPr>
        <w:pStyle w:val="ListBullet"/>
        <w:spacing w:after="40"/>
      </w:pPr>
      <w:r>
        <w:rPr>
          <w:b/>
          <w:i w:val="0"/>
          <w:sz w:val="20"/>
        </w:rPr>
        <w:t>Ventricular arrhythmias.</w:t>
      </w:r>
    </w:p>
    <w:p>
      <w:pPr>
        <w:spacing w:after="120"/>
      </w:pPr>
      <w:r>
        <w:rPr>
          <w:b/>
          <w:i w:val="0"/>
        </w:rPr>
        <w:t>Allergic reactions including anaphylaxis (anaphylactic reactions) are listed for all fibrinolytic agents</w:t>
      </w:r>
      <w:r>
        <w:rPr>
          <w:b w:val="0"/>
          <w:i w:val="0"/>
        </w:rPr>
        <w:t>; fever, chills and skin rash occur mainly with streptokinase [slide 62].</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59:41 of the recording: </w:t>
            </w:r>
            <w:r>
              <w:rPr>
                <w:b w:val="0"/>
                <w:i/>
              </w:rPr>
              <w:t>“Adverse effects, all these agents, bleeding is the big one… hemorrhagic stroke, GI bleeds, all kinds of bleeds are possible… allergic reactions because these are protein-based medications… and then you could also see ventricular arrhythmias.”</w:t>
            </w:r>
          </w:p>
          <w:p>
            <w:pPr>
              <w:spacing w:after="120"/>
            </w:pPr>
            <w:r>
              <w:rPr>
                <w:b w:val="0"/>
                <w:i w:val="0"/>
                <w:highlight w:val="yellow"/>
              </w:rPr>
              <w:t>Bleeding is the big one</w:t>
            </w:r>
            <w:r>
              <w:rPr>
                <w:b w:val="0"/>
                <w:i w:val="0"/>
              </w:rPr>
              <w:t>, including hemorrhagic stroke and gastrointestinal bleeds; allergic reactions; ventricular arrhythmias [slide 62].</w:t>
            </w:r>
          </w:p>
        </w:tc>
      </w:tr>
    </w:tbl>
    <w:p>
      <w:pPr>
        <w:spacing w:after="80"/>
      </w:pPr>
    </w:p>
    <w:p>
      <w:pPr>
        <w:pStyle w:val="Heading3"/>
        <w:spacing w:before="200" w:after="100"/>
      </w:pPr>
      <w:r>
        <w:rPr>
          <w:rFonts w:ascii="Georgia" w:hAnsi="Georgia"/>
          <w:color w:val="6B3524"/>
        </w:rPr>
        <w:t>The nine contraindications (Objective 7) [slide 63]</w:t>
      </w:r>
    </w:p>
    <w:p>
      <w:pPr>
        <w:spacing w:after="120"/>
      </w:pPr>
      <w:r>
        <w:rPr>
          <w:b w:val="0"/>
          <w:i w:val="0"/>
        </w:rPr>
        <w:t xml:space="preserve">Each of these nine findings contraindicates fibrinolytics, and they apply to every fibrinolytic agent, including tenecteplase, alteplase and reteplase, with one exception: prior exposure to streptokinase or an allergic reaction to it bars streptokinase only [slides 62 and 63]. The nine findings are: </w:t>
      </w:r>
      <w:r>
        <w:rPr>
          <w:b/>
          <w:i w:val="0"/>
        </w:rPr>
        <w:t>active bleeding</w:t>
      </w:r>
      <w:r>
        <w:rPr>
          <w:b w:val="0"/>
          <w:i w:val="0"/>
        </w:rPr>
        <w:t xml:space="preserve"> or a hemorrhagic disorder; </w:t>
      </w:r>
      <w:r>
        <w:rPr>
          <w:b/>
          <w:i w:val="0"/>
        </w:rPr>
        <w:t>pregnancy</w:t>
      </w:r>
      <w:r>
        <w:rPr>
          <w:b w:val="0"/>
          <w:i w:val="0"/>
        </w:rPr>
        <w:t xml:space="preserve">; </w:t>
      </w:r>
      <w:r>
        <w:rPr>
          <w:b/>
          <w:i w:val="0"/>
        </w:rPr>
        <w:t>aortic dissection</w:t>
      </w:r>
      <w:r>
        <w:rPr>
          <w:b w:val="0"/>
          <w:i w:val="0"/>
        </w:rPr>
        <w:t xml:space="preserve">; </w:t>
      </w:r>
      <w:r>
        <w:rPr>
          <w:b/>
          <w:i w:val="0"/>
        </w:rPr>
        <w:t>serious head or facial trauma</w:t>
      </w:r>
      <w:r>
        <w:rPr>
          <w:b w:val="0"/>
          <w:i w:val="0"/>
        </w:rPr>
        <w:t xml:space="preserve"> (listed with recent surgery); and the other five below. Fibrinolytics cause bleeding as their main adverse effect [slides 62 and 65].</w:t>
      </w:r>
    </w:p>
    <w:p>
      <w:pPr>
        <w:pStyle w:val="ListNumber"/>
        <w:spacing w:after="40"/>
      </w:pPr>
      <w:r>
        <w:rPr>
          <w:b/>
          <w:i w:val="0"/>
          <w:sz w:val="20"/>
        </w:rPr>
        <w:t>Recent surgery</w:t>
      </w:r>
      <w:r>
        <w:rPr>
          <w:b w:val="0"/>
          <w:i w:val="0"/>
          <w:sz w:val="20"/>
        </w:rPr>
        <w:t>, including organ biopsy, puncture of non-compressible vessels, serious head or facial trauma and cardiopulmonary resuscitation (the slide says within 10 days).</w:t>
      </w:r>
    </w:p>
    <w:p>
      <w:pPr>
        <w:pStyle w:val="ListNumber"/>
        <w:spacing w:after="40"/>
      </w:pPr>
      <w:r>
        <w:rPr>
          <w:b/>
          <w:i w:val="0"/>
          <w:sz w:val="20"/>
        </w:rPr>
        <w:t>Serious gastrointestinal bleeding</w:t>
      </w:r>
      <w:r>
        <w:rPr>
          <w:b w:val="0"/>
          <w:i w:val="0"/>
          <w:sz w:val="20"/>
        </w:rPr>
        <w:t xml:space="preserve"> (the slide says within 3 months).</w:t>
      </w:r>
    </w:p>
    <w:p>
      <w:pPr>
        <w:pStyle w:val="ListNumber"/>
        <w:spacing w:after="40"/>
      </w:pPr>
      <w:r>
        <w:rPr>
          <w:b/>
          <w:i w:val="0"/>
          <w:sz w:val="20"/>
        </w:rPr>
        <w:t>History of hypertension</w:t>
      </w:r>
      <w:r>
        <w:rPr>
          <w:b w:val="0"/>
          <w:i w:val="0"/>
          <w:sz w:val="20"/>
        </w:rPr>
        <w:t xml:space="preserve"> with a diastolic pressure above 110 mmHg.</w:t>
      </w:r>
    </w:p>
    <w:p>
      <w:pPr>
        <w:pStyle w:val="ListNumber"/>
        <w:spacing w:after="40"/>
      </w:pPr>
      <w:r>
        <w:rPr>
          <w:b/>
          <w:i w:val="0"/>
          <w:sz w:val="20"/>
        </w:rPr>
        <w:t>Active bleeding or a hemorrhagic disorder contraindicates fibrinolytics.</w:t>
      </w:r>
    </w:p>
    <w:p>
      <w:pPr>
        <w:pStyle w:val="ListNumber"/>
        <w:spacing w:after="40"/>
      </w:pPr>
      <w:r>
        <w:rPr>
          <w:b/>
          <w:i w:val="0"/>
          <w:sz w:val="20"/>
        </w:rPr>
        <w:t>Previous cerebrovascular accident or an active intracranial process</w:t>
      </w:r>
      <w:r>
        <w:rPr>
          <w:b w:val="0"/>
          <w:i w:val="0"/>
          <w:sz w:val="20"/>
        </w:rPr>
        <w:t xml:space="preserve"> such as a tumor.</w:t>
      </w:r>
    </w:p>
    <w:p>
      <w:pPr>
        <w:pStyle w:val="ListNumber"/>
        <w:spacing w:after="40"/>
      </w:pPr>
      <w:r>
        <w:rPr>
          <w:b/>
          <w:i w:val="0"/>
          <w:sz w:val="20"/>
        </w:rPr>
        <w:t>Aortic dissection.</w:t>
      </w:r>
    </w:p>
    <w:p>
      <w:pPr>
        <w:pStyle w:val="ListNumber"/>
        <w:spacing w:after="40"/>
      </w:pPr>
      <w:r>
        <w:rPr>
          <w:b/>
          <w:i w:val="0"/>
          <w:sz w:val="20"/>
        </w:rPr>
        <w:t>Acute pericarditis.</w:t>
      </w:r>
    </w:p>
    <w:p>
      <w:pPr>
        <w:pStyle w:val="ListNumber"/>
        <w:spacing w:after="40"/>
      </w:pPr>
      <w:r>
        <w:rPr>
          <w:b/>
          <w:i w:val="0"/>
          <w:sz w:val="20"/>
        </w:rPr>
        <w:t>Prior exposure to streptokinase or an allergic reaction to it.</w:t>
      </w:r>
    </w:p>
    <w:p>
      <w:pPr>
        <w:pStyle w:val="ListNumber"/>
        <w:spacing w:after="40"/>
      </w:pPr>
      <w:r>
        <w:rPr>
          <w:b/>
          <w:i w:val="0"/>
          <w:sz w:val="20"/>
        </w:rPr>
        <w:t>Pregnancy.</w:t>
      </w:r>
    </w:p>
    <w:p>
      <w:pPr>
        <w:spacing w:after="120"/>
      </w:pPr>
      <w:r>
        <w:rPr>
          <w:b w:val="0"/>
          <w:i w:val="0"/>
        </w:rPr>
        <w:t xml:space="preserve">Most of the list is one idea: </w:t>
      </w:r>
      <w:r>
        <w:rPr>
          <w:b/>
          <w:i w:val="0"/>
        </w:rPr>
        <w:t>anything that could bleed, or that a bleed would make catastrophic.</w:t>
      </w:r>
      <w:r>
        <w:rPr>
          <w:b w:val="0"/>
          <w:i w:val="0"/>
        </w:rPr>
        <w:t xml:space="preserve"> The exception is prior streptokinase exposure, which is about antigenicity, not bleeding. The numbers on this slide come from an older source; the current wording for item 3 is severe uncontrolled hypertension. Item 5 is firm for a prior hemorrhagic stroke or a recent ischemic stroke, not for any old stroke. Current guidelines treat recent major surgery, recent gastrointestinal bleeding and pregnancy as relative contraindications, and acute pericarditis is an older-list item; any prior intracranial hemorrhage, aortic dissection, active bleeding, an intracranial tumor and significant head or facial trauma are the firm ones. Learn the categories, not the numbers.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1:00:30 of the recording: </w:t>
            </w:r>
            <w:r>
              <w:rPr>
                <w:b w:val="0"/>
                <w:i/>
              </w:rPr>
              <w:t>“This is important, whenever you’re about to decide to give fibrinolytics… you have to go through your contraindications and if they meet any of these you don’t give it… you have to go through this checklist… because once it’s given you can’t take it away.”</w:t>
            </w:r>
          </w:p>
          <w:p>
            <w:pPr>
              <w:spacing w:after="120"/>
            </w:pPr>
            <w:r>
              <w:rPr>
                <w:b w:val="0"/>
                <w:i w:val="0"/>
                <w:highlight w:val="yellow"/>
              </w:rPr>
              <w:t>Go through the contraindication checklist before every fibrinolytic</w:t>
            </w:r>
            <w:r>
              <w:rPr>
                <w:b w:val="0"/>
                <w:i w:val="0"/>
              </w:rPr>
              <w:t xml:space="preserve">: once it is given it cannot be taken back [slide 63]. </w:t>
            </w:r>
            <w:r>
              <w:rPr>
                <w:b/>
                <w:i w:val="0"/>
              </w:rPr>
              <w:t>Study note:</w:t>
            </w:r>
            <w:r>
              <w:rPr>
                <w:b w:val="0"/>
                <w:i w:val="0"/>
              </w:rPr>
              <w:t xml:space="preserve"> the list above separates the firm items from the relative ones.</w:t>
            </w:r>
          </w:p>
        </w:tc>
      </w:tr>
    </w:tbl>
    <w:p>
      <w:pPr>
        <w:spacing w:after="80"/>
      </w:pPr>
    </w:p>
    <w:p>
      <w:pPr>
        <w:pStyle w:val="Heading3"/>
        <w:spacing w:before="200" w:after="100"/>
      </w:pPr>
      <w:r>
        <w:rPr>
          <w:rFonts w:ascii="Georgia" w:hAnsi="Georgia"/>
          <w:color w:val="6B3524"/>
        </w:rPr>
        <w:t>Indications (Objective 3) [slide 65]</w:t>
      </w:r>
    </w:p>
    <w:p>
      <w:pPr>
        <w:spacing w:after="120"/>
      </w:pPr>
      <w:r>
        <w:rPr>
          <w:b w:val="0"/>
          <w:i w:val="0"/>
        </w:rPr>
        <w:t xml:space="preserve">Fibrinolytics are indicated for </w:t>
      </w:r>
      <w:r>
        <w:rPr>
          <w:b/>
          <w:i w:val="0"/>
        </w:rPr>
        <w:t>ST-elevation myocardial infarction</w:t>
      </w:r>
      <w:r>
        <w:rPr>
          <w:b w:val="0"/>
          <w:i w:val="0"/>
        </w:rPr>
        <w:t xml:space="preserve">, the slide giving patients under 75 years within 12 hours of symptom onset. There is </w:t>
      </w:r>
      <w:r>
        <w:rPr>
          <w:b/>
          <w:i w:val="0"/>
        </w:rPr>
        <w:t>less benefit</w:t>
      </w:r>
      <w:r>
        <w:rPr>
          <w:b w:val="0"/>
          <w:i w:val="0"/>
        </w:rPr>
        <w:t xml:space="preserve"> in patients over 75 years, more than 6 hours after onset, or with </w:t>
      </w:r>
      <w:r>
        <w:rPr>
          <w:b/>
          <w:i w:val="0"/>
        </w:rPr>
        <w:t>non-ST-elevation</w:t>
      </w:r>
      <w:r>
        <w:rPr>
          <w:b w:val="0"/>
          <w:i w:val="0"/>
        </w:rPr>
        <w:t xml:space="preserve"> myocardial infarction [slide 65]; slide 68 goes further, saying fibrinolytics are not recommended in non-ST-elevation acute coronary syndrome, and that is the point to learn. Age is a reason for less benefit, not a bar. </w:t>
      </w:r>
      <w:r>
        <w:rPr>
          <w:b/>
          <w:i w:val="0"/>
        </w:rPr>
        <w:t>Relatively few patients receive these agents</w:t>
      </w:r>
      <w:r>
        <w:rPr>
          <w:b w:val="0"/>
          <w:i w:val="0"/>
        </w:rPr>
        <w:t xml:space="preserve"> [slide 65]. The main risk is bleeding, including intracranial hemorrhage [slide 65].</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1:02:19 of the recording: </w:t>
            </w:r>
            <w:r>
              <w:rPr>
                <w:b w:val="0"/>
                <w:i/>
              </w:rPr>
              <w:t>“Patients less than 75 years of age, for example, if they’re within 12 hours of symptom onset… outside of that window you tend to find patients have less benefit while still having that bleeding risk… relatively few patients end up getting these big full-blast doses.”</w:t>
            </w:r>
          </w:p>
          <w:p>
            <w:pPr>
              <w:spacing w:after="120"/>
            </w:pPr>
            <w:r>
              <w:rPr>
                <w:b w:val="0"/>
                <w:i w:val="0"/>
                <w:highlight w:val="yellow"/>
              </w:rPr>
              <w:t>Benefit is greatest early</w:t>
            </w:r>
            <w:r>
              <w:rPr>
                <w:b w:val="0"/>
                <w:i w:val="0"/>
              </w:rPr>
              <w:t xml:space="preserve"> (within 12 hours of symptom onset), and relatively few patients receive systemic fibrinolytics, because the catheterization laboratory is preferred where available [slide 65].</w:t>
            </w:r>
          </w:p>
        </w:tc>
      </w:tr>
    </w:tbl>
    <w:p>
      <w:pPr>
        <w:spacing w:after="80"/>
      </w:pPr>
    </w:p>
    <w:p>
      <w:pPr>
        <w:pStyle w:val="Heading3"/>
        <w:spacing w:before="200" w:after="100"/>
      </w:pPr>
      <w:r>
        <w:rPr>
          <w:rFonts w:ascii="Georgia" w:hAnsi="Georgia"/>
          <w:color w:val="6B3524"/>
        </w:rPr>
        <w:t>Other antithrombotic agents [slide 66]</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Class</w:t>
            </w:r>
          </w:p>
        </w:tc>
        <w:tc>
          <w:tcPr>
            <w:tcW w:type="dxa" w:w="7272"/>
            <w:shd w:val="clear" w:color="auto" w:fill="6B3524"/>
          </w:tcPr>
          <w:p>
            <w:pPr>
              <w:spacing w:after="40"/>
            </w:pPr>
            <w:r>
              <w:rPr>
                <w:b/>
                <w:color w:val="FFFFFF"/>
                <w:sz w:val="18"/>
              </w:rPr>
            </w:r>
            <w:r>
              <w:rPr>
                <w:b/>
                <w:i w:val="0"/>
                <w:color w:val="FFFFFF"/>
                <w:sz w:val="18"/>
              </w:rPr>
              <w:t>Place in therapy</w:t>
            </w:r>
          </w:p>
        </w:tc>
      </w:tr>
      <w:tr>
        <w:tc>
          <w:tcPr>
            <w:tcW w:type="dxa" w:w="7272"/>
          </w:tcPr>
          <w:p>
            <w:pPr>
              <w:spacing w:after="40"/>
            </w:pPr>
            <w:r>
              <w:rPr>
                <w:sz w:val="18"/>
              </w:rPr>
            </w:r>
            <w:r>
              <w:rPr>
                <w:b/>
                <w:i w:val="0"/>
                <w:sz w:val="18"/>
              </w:rPr>
              <w:t>Glycoprotein IIb/IIIa inhibitors</w:t>
            </w:r>
          </w:p>
        </w:tc>
        <w:tc>
          <w:tcPr>
            <w:tcW w:type="dxa" w:w="7272"/>
          </w:tcPr>
          <w:p>
            <w:pPr>
              <w:spacing w:after="40"/>
            </w:pPr>
            <w:r>
              <w:rPr>
                <w:sz w:val="18"/>
              </w:rPr>
            </w:r>
            <w:r>
              <w:rPr>
                <w:b/>
                <w:i w:val="0"/>
                <w:sz w:val="18"/>
              </w:rPr>
              <w:t>Not routinely recommended before percutaneous coronary intervention</w:t>
            </w:r>
          </w:p>
        </w:tc>
      </w:tr>
      <w:tr>
        <w:tc>
          <w:tcPr>
            <w:tcW w:type="dxa" w:w="7272"/>
          </w:tcPr>
          <w:p>
            <w:pPr>
              <w:spacing w:after="40"/>
            </w:pPr>
            <w:r>
              <w:rPr>
                <w:sz w:val="18"/>
              </w:rPr>
            </w:r>
            <w:r>
              <w:rPr>
                <w:b/>
                <w:i w:val="0"/>
                <w:sz w:val="18"/>
              </w:rPr>
              <w:t>P2Y12 receptor antagonists</w:t>
            </w:r>
          </w:p>
        </w:tc>
        <w:tc>
          <w:tcPr>
            <w:tcW w:type="dxa" w:w="7272"/>
          </w:tcPr>
          <w:p>
            <w:pPr>
              <w:spacing w:after="40"/>
            </w:pPr>
            <w:r>
              <w:rPr>
                <w:sz w:val="18"/>
              </w:rPr>
            </w:r>
            <w:r>
              <w:rPr>
                <w:b w:val="0"/>
                <w:i w:val="0"/>
                <w:sz w:val="18"/>
              </w:rPr>
              <w:t xml:space="preserve">Used </w:t>
            </w:r>
            <w:r>
              <w:rPr>
                <w:b/>
                <w:i w:val="0"/>
                <w:sz w:val="18"/>
              </w:rPr>
              <w:t>before percutaneous coronary intervention</w:t>
            </w:r>
            <w:r>
              <w:rPr>
                <w:b w:val="0"/>
                <w:i w:val="0"/>
                <w:sz w:val="18"/>
              </w:rPr>
              <w:t xml:space="preserve"> and as </w:t>
            </w:r>
            <w:r>
              <w:rPr>
                <w:b/>
                <w:i w:val="0"/>
                <w:sz w:val="18"/>
              </w:rPr>
              <w:t>clot prophylaxis with stent placement</w:t>
            </w:r>
          </w:p>
        </w:tc>
      </w:tr>
      <w:tr>
        <w:tc>
          <w:tcPr>
            <w:tcW w:type="dxa" w:w="7272"/>
          </w:tcPr>
          <w:p>
            <w:pPr>
              <w:spacing w:after="40"/>
            </w:pPr>
            <w:r>
              <w:rPr>
                <w:sz w:val="18"/>
              </w:rPr>
            </w:r>
            <w:r>
              <w:rPr>
                <w:b/>
                <w:i w:val="0"/>
                <w:sz w:val="18"/>
              </w:rPr>
              <w:t>Heparins</w:t>
            </w:r>
          </w:p>
        </w:tc>
        <w:tc>
          <w:tcPr>
            <w:tcW w:type="dxa" w:w="7272"/>
          </w:tcPr>
          <w:p>
            <w:pPr>
              <w:spacing w:after="40"/>
            </w:pPr>
            <w:r>
              <w:rPr>
                <w:sz w:val="18"/>
              </w:rPr>
            </w:r>
            <w:r>
              <w:rPr>
                <w:b w:val="0"/>
                <w:i w:val="0"/>
                <w:sz w:val="18"/>
              </w:rPr>
              <w:t xml:space="preserve">Used </w:t>
            </w:r>
            <w:r>
              <w:rPr>
                <w:b/>
                <w:i w:val="0"/>
                <w:sz w:val="18"/>
              </w:rPr>
              <w:t>together with fibrinolysis or antiplatelet agents</w:t>
            </w:r>
          </w:p>
        </w:tc>
      </w:tr>
    </w:tbl>
    <w:p>
      <w:pPr>
        <w:spacing w:after="80"/>
      </w:pPr>
    </w:p>
    <w:p>
      <w:pPr>
        <w:spacing w:after="120"/>
      </w:pPr>
      <w:r>
        <w:rPr>
          <w:b w:val="0"/>
          <w:i w:val="0"/>
        </w:rPr>
        <w:t>Slide 67 pictures a coronary stent: a balloon catheter carries it into the narrowed artery and it is left expanded in place (percutaneous coronary intervention with stent placement).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1:03:43 of the recording: </w:t>
            </w:r>
            <w:r>
              <w:rPr>
                <w:b w:val="0"/>
                <w:i/>
              </w:rPr>
              <w:t>“Glycoprotein 2b3a inhibitors… another anti-platelet type of drug along with your ADP receptor blockers, [which] are also called P2Y12… whenever a stent gets placed that’s foreign material… patients who go home on stents will need to be on some kind of anti-platelet therapy sometimes indefinitely.”</w:t>
            </w:r>
          </w:p>
          <w:p>
            <w:pPr>
              <w:spacing w:after="120"/>
            </w:pPr>
            <w:r>
              <w:rPr>
                <w:b w:val="0"/>
                <w:i w:val="0"/>
                <w:highlight w:val="yellow"/>
              </w:rPr>
              <w:t>Stent placement means antiplatelet therapy afterwards</w:t>
            </w:r>
            <w:r>
              <w:rPr>
                <w:b w:val="0"/>
                <w:i w:val="0"/>
              </w:rPr>
              <w:t>, sometimes indefinitely; P2Y12 receptor antagonists are used before intervention and with stents, and heparins accompany fibrinolysis or antiplatelet agents [slide 66].</w:t>
            </w:r>
          </w:p>
        </w:tc>
      </w:tr>
    </w:tbl>
    <w:p>
      <w:pPr>
        <w:spacing w:after="80"/>
      </w:pPr>
    </w:p>
    <w:p>
      <w:pPr>
        <w:pStyle w:val="Heading3"/>
        <w:spacing w:before="200" w:after="100"/>
      </w:pPr>
      <w:r>
        <w:rPr>
          <w:rFonts w:ascii="Georgia" w:hAnsi="Georgia"/>
          <w:color w:val="6B3524"/>
        </w:rPr>
        <w:t>Non-ST-elevation acute coronary syndrome: how it differs [slide 68]</w:t>
      </w:r>
    </w:p>
    <w:p>
      <w:pPr>
        <w:pStyle w:val="ListBullet"/>
        <w:spacing w:after="40"/>
      </w:pPr>
      <w:r>
        <w:rPr>
          <w:b w:val="0"/>
          <w:i w:val="0"/>
          <w:sz w:val="20"/>
        </w:rPr>
        <w:t>Early treatment is similar to treatment of ST-elevation myocardial infarction.</w:t>
      </w:r>
    </w:p>
    <w:p>
      <w:pPr>
        <w:pStyle w:val="ListBullet"/>
        <w:spacing w:after="40"/>
      </w:pPr>
      <w:r>
        <w:rPr>
          <w:b/>
          <w:i w:val="0"/>
          <w:sz w:val="20"/>
        </w:rPr>
        <w:t>Fibrinolytics are not recommended</w:t>
      </w:r>
      <w:r>
        <w:rPr>
          <w:b w:val="0"/>
          <w:i w:val="0"/>
          <w:sz w:val="20"/>
        </w:rPr>
        <w:t>, because the bleeding risk outweighs the benefit. This covers the fibrinolytic agents on slide 64: alteplase, reteplase and tenecteplase are not recommended in non-ST-elevation acute coronary syndrome.</w:t>
      </w:r>
    </w:p>
    <w:p>
      <w:pPr>
        <w:pStyle w:val="ListBullet"/>
        <w:spacing w:after="40"/>
      </w:pPr>
      <w:r>
        <w:rPr>
          <w:b/>
          <w:i w:val="0"/>
          <w:sz w:val="20"/>
        </w:rPr>
        <w:t>Enoxaparin is preferred over heparin</w:t>
      </w:r>
      <w:r>
        <w:rPr>
          <w:b w:val="0"/>
          <w:i w:val="0"/>
          <w:sz w:val="20"/>
        </w:rPr>
        <w:t>, based on studies. Enoxaparin is a low-molecular-weight heparin and the slide’s “heparin” is unfractionated heparin; the preference comes from older studies, and current guidelines accept either.</w:t>
      </w:r>
    </w:p>
    <w:p>
      <w:pPr>
        <w:pStyle w:val="ListBullet"/>
        <w:spacing w:after="40"/>
      </w:pPr>
      <w:r>
        <w:rPr>
          <w:b/>
          <w:i w:val="0"/>
          <w:sz w:val="20"/>
        </w:rPr>
        <w:t>Glycoprotein IIb/IIIa inhibitors are used more commonly</w:t>
      </w:r>
      <w:r>
        <w:rPr>
          <w:b w:val="0"/>
          <w:i w:val="0"/>
          <w:sz w:val="20"/>
        </w:rPr>
        <w:t xml:space="preserve"> than in ST-elevation myocardial infarction.</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1:04:40 of the recording: </w:t>
            </w:r>
            <w:r>
              <w:rPr>
                <w:b w:val="0"/>
                <w:i/>
              </w:rPr>
              <w:t>“Treatment for NSTEMI is going to be similar to MI, it’s just less use of fibrinolytics and then more use for things like your 2b3a inhibitors and enoxaparin.”</w:t>
            </w:r>
          </w:p>
          <w:p>
            <w:pPr>
              <w:spacing w:after="120"/>
            </w:pPr>
            <w:r>
              <w:rPr>
                <w:b w:val="0"/>
                <w:i w:val="0"/>
                <w:highlight w:val="yellow"/>
              </w:rPr>
              <w:t>Non-ST-elevation acute coronary syndrome: same early drugs, fewer fibrinolytics</w:t>
            </w:r>
            <w:r>
              <w:rPr>
                <w:b w:val="0"/>
                <w:i w:val="0"/>
              </w:rPr>
              <w:t xml:space="preserve"> (not recommended), and more glycoprotein IIb/IIIa inhibitors and enoxaparin [slide 68].</w:t>
            </w:r>
          </w:p>
        </w:tc>
      </w:tr>
    </w:tbl>
    <w:p>
      <w:pPr>
        <w:spacing w:after="80"/>
      </w:pPr>
    </w:p>
    <w:p>
      <w:pPr>
        <w:pStyle w:val="Heading2"/>
        <w:spacing w:before="200" w:after="100"/>
      </w:pPr>
      <w:r>
        <w:rPr>
          <w:rFonts w:ascii="Georgia" w:hAnsi="Georgia"/>
          <w:color w:val="6B3524"/>
        </w:rPr>
        <w:t>5.9 · Objectives 8–10 — Interactions, monitoring and patient education</w:t>
      </w:r>
    </w:p>
    <w:p>
      <w:pPr>
        <w:pStyle w:val="Heading3"/>
        <w:spacing w:before="200" w:after="100"/>
      </w:pPr>
      <w:r>
        <w:rPr>
          <w:rFonts w:ascii="Georgia" w:hAnsi="Georgia"/>
          <w:color w:val="6B3524"/>
        </w:rPr>
        <w:t>Interactions (Objective 8)</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Combination</w:t>
            </w:r>
          </w:p>
        </w:tc>
        <w:tc>
          <w:tcPr>
            <w:tcW w:type="dxa" w:w="7272"/>
            <w:shd w:val="clear" w:color="auto" w:fill="6B3524"/>
          </w:tcPr>
          <w:p>
            <w:pPr>
              <w:spacing w:after="40"/>
            </w:pPr>
            <w:r>
              <w:rPr>
                <w:b/>
                <w:color w:val="FFFFFF"/>
                <w:sz w:val="18"/>
              </w:rPr>
            </w:r>
            <w:r>
              <w:rPr>
                <w:b/>
                <w:i w:val="0"/>
                <w:color w:val="FFFFFF"/>
                <w:sz w:val="18"/>
              </w:rPr>
              <w:t>What happens</w:t>
            </w:r>
          </w:p>
        </w:tc>
      </w:tr>
      <w:tr>
        <w:tc>
          <w:tcPr>
            <w:tcW w:type="dxa" w:w="7272"/>
          </w:tcPr>
          <w:p>
            <w:pPr>
              <w:spacing w:after="40"/>
            </w:pPr>
            <w:r>
              <w:rPr>
                <w:sz w:val="18"/>
              </w:rPr>
            </w:r>
            <w:r>
              <w:rPr>
                <w:b/>
                <w:i w:val="0"/>
                <w:sz w:val="18"/>
              </w:rPr>
              <w:t>Nitrates with sildenafil, tadalafil or vardenafil</w:t>
            </w:r>
          </w:p>
        </w:tc>
        <w:tc>
          <w:tcPr>
            <w:tcW w:type="dxa" w:w="7272"/>
          </w:tcPr>
          <w:p>
            <w:pPr>
              <w:spacing w:after="40"/>
            </w:pPr>
            <w:r>
              <w:rPr>
                <w:sz w:val="18"/>
              </w:rPr>
            </w:r>
            <w:r>
              <w:rPr>
                <w:b/>
                <w:i w:val="0"/>
                <w:sz w:val="18"/>
              </w:rPr>
              <w:t>Hypotension, and myocardial infarction or stroke</w:t>
            </w:r>
            <w:r>
              <w:rPr>
                <w:b w:val="0"/>
                <w:i w:val="0"/>
                <w:sz w:val="18"/>
              </w:rPr>
              <w:t>; contraindicated [slides 26, 33 and 54]</w:t>
            </w:r>
          </w:p>
        </w:tc>
      </w:tr>
      <w:tr>
        <w:tc>
          <w:tcPr>
            <w:tcW w:type="dxa" w:w="7272"/>
          </w:tcPr>
          <w:p>
            <w:pPr>
              <w:spacing w:after="40"/>
            </w:pPr>
            <w:r>
              <w:rPr>
                <w:sz w:val="18"/>
              </w:rPr>
            </w:r>
            <w:r>
              <w:rPr>
                <w:b/>
                <w:i w:val="0"/>
                <w:sz w:val="18"/>
              </w:rPr>
              <w:t>Calcium channel blockers with CYP3A4 (cytochrome P450 3A4) substrates, inhibitors or inducers</w:t>
            </w:r>
          </w:p>
        </w:tc>
        <w:tc>
          <w:tcPr>
            <w:tcW w:type="dxa" w:w="7272"/>
          </w:tcPr>
          <w:p>
            <w:pPr>
              <w:spacing w:after="40"/>
            </w:pPr>
            <w:r>
              <w:rPr>
                <w:sz w:val="18"/>
              </w:rPr>
            </w:r>
            <w:r>
              <w:rPr>
                <w:b w:val="0"/>
                <w:i w:val="0"/>
                <w:sz w:val="18"/>
              </w:rPr>
              <w:t>The slide lists CYP3A4 interactions as a precaution [slide 23]</w:t>
            </w:r>
          </w:p>
        </w:tc>
      </w:tr>
      <w:tr>
        <w:tc>
          <w:tcPr>
            <w:tcW w:type="dxa" w:w="7272"/>
          </w:tcPr>
          <w:p>
            <w:pPr>
              <w:spacing w:after="40"/>
            </w:pPr>
            <w:r>
              <w:rPr>
                <w:sz w:val="18"/>
              </w:rPr>
            </w:r>
            <w:r>
              <w:rPr>
                <w:b/>
                <w:i w:val="0"/>
                <w:sz w:val="18"/>
              </w:rPr>
              <w:t>Non-dihydropyridine with a beta blocker</w:t>
            </w:r>
          </w:p>
        </w:tc>
        <w:tc>
          <w:tcPr>
            <w:tcW w:type="dxa" w:w="7272"/>
          </w:tcPr>
          <w:p>
            <w:pPr>
              <w:spacing w:after="40"/>
            </w:pPr>
            <w:r>
              <w:rPr>
                <w:sz w:val="18"/>
              </w:rPr>
            </w:r>
            <w:r>
              <w:rPr>
                <w:b w:val="0"/>
                <w:i w:val="0"/>
                <w:sz w:val="18"/>
              </w:rPr>
              <w:t>Listed as a precaution [slide 23]; the dihydropyridine is the usual partner for a beta blocker [slide 22]</w:t>
            </w:r>
          </w:p>
        </w:tc>
      </w:tr>
      <w:tr>
        <w:tc>
          <w:tcPr>
            <w:tcW w:type="dxa" w:w="7272"/>
          </w:tcPr>
          <w:p>
            <w:pPr>
              <w:spacing w:after="40"/>
            </w:pPr>
            <w:r>
              <w:rPr>
                <w:sz w:val="18"/>
              </w:rPr>
            </w:r>
            <w:r>
              <w:rPr>
                <w:b/>
                <w:i w:val="0"/>
                <w:sz w:val="18"/>
              </w:rPr>
              <w:t>Fibrinolytic with heparin or antiplatelet agents</w:t>
            </w:r>
          </w:p>
        </w:tc>
        <w:tc>
          <w:tcPr>
            <w:tcW w:type="dxa" w:w="7272"/>
          </w:tcPr>
          <w:p>
            <w:pPr>
              <w:spacing w:after="40"/>
            </w:pPr>
            <w:r>
              <w:rPr>
                <w:sz w:val="18"/>
              </w:rPr>
            </w:r>
            <w:r>
              <w:rPr>
                <w:b w:val="0"/>
                <w:i w:val="0"/>
                <w:sz w:val="18"/>
              </w:rPr>
              <w:t>Used together on purpose [slide 66]; bleeding is the main risk of fibrinolytics [slide 65]</w:t>
            </w:r>
          </w:p>
        </w:tc>
      </w:tr>
    </w:tbl>
    <w:p>
      <w:pPr>
        <w:spacing w:after="80"/>
      </w:pPr>
    </w:p>
    <w:p>
      <w:pPr>
        <w:spacing w:after="120"/>
      </w:pPr>
      <w:r>
        <w:rPr>
          <w:b w:val="0"/>
          <w:i w:val="0"/>
        </w:rPr>
        <w:t xml:space="preserve">The slides name </w:t>
      </w:r>
      <w:r>
        <w:rPr>
          <w:b/>
          <w:i w:val="0"/>
        </w:rPr>
        <w:t>no drug-food and no drug-herb interactions</w:t>
      </w:r>
      <w:r>
        <w:rPr>
          <w:b w:val="0"/>
          <w:i w:val="0"/>
        </w:rPr>
        <w:t xml:space="preserve"> for these drugs.</w:t>
      </w:r>
    </w:p>
    <w:p>
      <w:pPr>
        <w:pStyle w:val="Heading3"/>
        <w:spacing w:before="200" w:after="100"/>
      </w:pPr>
      <w:r>
        <w:rPr>
          <w:rFonts w:ascii="Georgia" w:hAnsi="Georgia"/>
          <w:color w:val="6B3524"/>
        </w:rPr>
        <w:t>Protocols and monitoring (Objective 9)</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Topic</w:t>
            </w:r>
          </w:p>
        </w:tc>
        <w:tc>
          <w:tcPr>
            <w:tcW w:type="dxa" w:w="7272"/>
            <w:shd w:val="clear" w:color="auto" w:fill="6B3524"/>
          </w:tcPr>
          <w:p>
            <w:pPr>
              <w:spacing w:after="40"/>
            </w:pPr>
            <w:r>
              <w:rPr>
                <w:b/>
                <w:color w:val="FFFFFF"/>
                <w:sz w:val="18"/>
              </w:rPr>
            </w:r>
            <w:r>
              <w:rPr>
                <w:b/>
                <w:i w:val="0"/>
                <w:color w:val="FFFFFF"/>
                <w:sz w:val="18"/>
              </w:rPr>
              <w:t>What the slides give</w:t>
            </w:r>
          </w:p>
        </w:tc>
      </w:tr>
      <w:tr>
        <w:tc>
          <w:tcPr>
            <w:tcW w:type="dxa" w:w="7272"/>
          </w:tcPr>
          <w:p>
            <w:pPr>
              <w:spacing w:after="40"/>
            </w:pPr>
            <w:r>
              <w:rPr>
                <w:sz w:val="18"/>
              </w:rPr>
            </w:r>
            <w:r>
              <w:rPr>
                <w:b w:val="0"/>
                <w:i w:val="0"/>
                <w:sz w:val="18"/>
              </w:rPr>
              <w:t>Stable angina, stepwise</w:t>
            </w:r>
          </w:p>
        </w:tc>
        <w:tc>
          <w:tcPr>
            <w:tcW w:type="dxa" w:w="7272"/>
          </w:tcPr>
          <w:p>
            <w:pPr>
              <w:spacing w:after="40"/>
            </w:pPr>
            <w:r>
              <w:rPr>
                <w:sz w:val="18"/>
              </w:rPr>
            </w:r>
            <w:r>
              <w:rPr>
                <w:b w:val="0"/>
                <w:i w:val="0"/>
                <w:sz w:val="18"/>
              </w:rPr>
              <w:t>Aspirin, lipid-lowering therapy and sublingual nitroglycerin for everyone; a beta blocker after a myocardial infarction; an angiotensin-converting enzyme inhibitor with diabetes or left ventricular dysfunction; beta blocker, calcium channel blocker or long-acting nitrate for daily symptoms; combine if symptoms persist; a third agent calls for further workup [slides 36 and 38]</w:t>
            </w:r>
          </w:p>
        </w:tc>
      </w:tr>
      <w:tr>
        <w:tc>
          <w:tcPr>
            <w:tcW w:type="dxa" w:w="7272"/>
          </w:tcPr>
          <w:p>
            <w:pPr>
              <w:spacing w:after="40"/>
            </w:pPr>
            <w:r>
              <w:rPr>
                <w:sz w:val="18"/>
              </w:rPr>
            </w:r>
            <w:r>
              <w:rPr>
                <w:b w:val="0"/>
                <w:i w:val="0"/>
                <w:sz w:val="18"/>
              </w:rPr>
              <w:t>Acute chest pain</w:t>
            </w:r>
          </w:p>
        </w:tc>
        <w:tc>
          <w:tcPr>
            <w:tcW w:type="dxa" w:w="7272"/>
          </w:tcPr>
          <w:p>
            <w:pPr>
              <w:spacing w:after="40"/>
            </w:pPr>
            <w:r>
              <w:rPr>
                <w:sz w:val="18"/>
              </w:rPr>
            </w:r>
            <w:r>
              <w:rPr>
                <w:b w:val="0"/>
                <w:i w:val="0"/>
                <w:sz w:val="18"/>
              </w:rPr>
              <w:t xml:space="preserve">Sublingual nitroglycerin; </w:t>
            </w:r>
            <w:r>
              <w:rPr>
                <w:b/>
                <w:i w:val="0"/>
                <w:sz w:val="18"/>
              </w:rPr>
              <w:t>call emergency medical services if there is no relief five minutes after the first dose</w:t>
            </w:r>
            <w:r>
              <w:rPr>
                <w:b w:val="0"/>
                <w:i w:val="0"/>
                <w:sz w:val="18"/>
              </w:rPr>
              <w:t xml:space="preserve"> [slide 27]; aspirin at the first signs of chest pain [slide 52]</w:t>
            </w:r>
          </w:p>
        </w:tc>
      </w:tr>
      <w:tr>
        <w:tc>
          <w:tcPr>
            <w:tcW w:type="dxa" w:w="7272"/>
          </w:tcPr>
          <w:p>
            <w:pPr>
              <w:spacing w:after="40"/>
            </w:pPr>
            <w:r>
              <w:rPr>
                <w:sz w:val="18"/>
              </w:rPr>
            </w:r>
            <w:r>
              <w:rPr>
                <w:b w:val="0"/>
                <w:i w:val="0"/>
                <w:sz w:val="18"/>
              </w:rPr>
              <w:t>Beta blockers</w:t>
            </w:r>
          </w:p>
        </w:tc>
        <w:tc>
          <w:tcPr>
            <w:tcW w:type="dxa" w:w="7272"/>
          </w:tcPr>
          <w:p>
            <w:pPr>
              <w:spacing w:after="40"/>
            </w:pPr>
            <w:r>
              <w:rPr>
                <w:sz w:val="18"/>
              </w:rPr>
            </w:r>
            <w:r>
              <w:rPr>
                <w:b w:val="0"/>
                <w:i w:val="0"/>
                <w:sz w:val="18"/>
              </w:rPr>
              <w:t>Monitor heart rate, blood sugar and lipids [slide 19]</w:t>
            </w:r>
          </w:p>
        </w:tc>
      </w:tr>
      <w:tr>
        <w:tc>
          <w:tcPr>
            <w:tcW w:type="dxa" w:w="7272"/>
          </w:tcPr>
          <w:p>
            <w:pPr>
              <w:spacing w:after="40"/>
            </w:pPr>
            <w:r>
              <w:rPr>
                <w:sz w:val="18"/>
              </w:rPr>
            </w:r>
            <w:r>
              <w:rPr>
                <w:b w:val="0"/>
                <w:i w:val="0"/>
                <w:sz w:val="18"/>
              </w:rPr>
              <w:t>Calcium channel blockers</w:t>
            </w:r>
          </w:p>
        </w:tc>
        <w:tc>
          <w:tcPr>
            <w:tcW w:type="dxa" w:w="7272"/>
          </w:tcPr>
          <w:p>
            <w:pPr>
              <w:spacing w:after="40"/>
            </w:pPr>
            <w:r>
              <w:rPr>
                <w:sz w:val="18"/>
              </w:rPr>
            </w:r>
            <w:r>
              <w:rPr>
                <w:b w:val="0"/>
                <w:i w:val="0"/>
                <w:sz w:val="18"/>
              </w:rPr>
              <w:t>Monitor relief of symptoms, and heart rate for non-dihydropyridines [slide 24]</w:t>
            </w:r>
          </w:p>
        </w:tc>
      </w:tr>
      <w:tr>
        <w:tc>
          <w:tcPr>
            <w:tcW w:type="dxa" w:w="7272"/>
          </w:tcPr>
          <w:p>
            <w:pPr>
              <w:spacing w:after="40"/>
            </w:pPr>
            <w:r>
              <w:rPr>
                <w:sz w:val="18"/>
              </w:rPr>
            </w:r>
            <w:r>
              <w:rPr>
                <w:b w:val="0"/>
                <w:i w:val="0"/>
                <w:sz w:val="18"/>
              </w:rPr>
              <w:t>Long-acting nitrates</w:t>
            </w:r>
          </w:p>
        </w:tc>
        <w:tc>
          <w:tcPr>
            <w:tcW w:type="dxa" w:w="7272"/>
          </w:tcPr>
          <w:p>
            <w:pPr>
              <w:spacing w:after="40"/>
            </w:pPr>
            <w:r>
              <w:rPr>
                <w:sz w:val="18"/>
              </w:rPr>
            </w:r>
            <w:r>
              <w:rPr>
                <w:b w:val="0"/>
                <w:i w:val="0"/>
                <w:sz w:val="18"/>
              </w:rPr>
              <w:t>A nitrate-free interval each day [slides 31 and 32]</w:t>
            </w:r>
          </w:p>
        </w:tc>
      </w:tr>
    </w:tbl>
    <w:p>
      <w:pPr>
        <w:spacing w:after="80"/>
      </w:pPr>
    </w:p>
    <w:p>
      <w:pPr>
        <w:pStyle w:val="Heading3"/>
        <w:spacing w:before="200" w:after="100"/>
      </w:pPr>
      <w:r>
        <w:rPr>
          <w:rFonts w:ascii="Georgia" w:hAnsi="Georgia"/>
          <w:color w:val="6B3524"/>
        </w:rPr>
        <w:t>Patient education (Objective 10)</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B3524"/>
          </w:tcPr>
          <w:p>
            <w:pPr>
              <w:spacing w:after="40"/>
            </w:pPr>
            <w:r>
              <w:rPr>
                <w:b/>
                <w:color w:val="FFFFFF"/>
                <w:sz w:val="18"/>
              </w:rPr>
            </w:r>
            <w:r>
              <w:rPr>
                <w:b/>
                <w:i w:val="0"/>
                <w:color w:val="FFFFFF"/>
                <w:sz w:val="18"/>
              </w:rPr>
              <w:t>Drug</w:t>
            </w:r>
          </w:p>
        </w:tc>
        <w:tc>
          <w:tcPr>
            <w:tcW w:type="dxa" w:w="7272"/>
            <w:shd w:val="clear" w:color="auto" w:fill="6B3524"/>
          </w:tcPr>
          <w:p>
            <w:pPr>
              <w:spacing w:after="40"/>
            </w:pPr>
            <w:r>
              <w:rPr>
                <w:b/>
                <w:color w:val="FFFFFF"/>
                <w:sz w:val="18"/>
              </w:rPr>
            </w:r>
            <w:r>
              <w:rPr>
                <w:b/>
                <w:i w:val="0"/>
                <w:color w:val="FFFFFF"/>
                <w:sz w:val="18"/>
              </w:rPr>
              <w:t>What to tell the patient</w:t>
            </w:r>
          </w:p>
        </w:tc>
      </w:tr>
      <w:tr>
        <w:tc>
          <w:tcPr>
            <w:tcW w:type="dxa" w:w="7272"/>
          </w:tcPr>
          <w:p>
            <w:pPr>
              <w:spacing w:after="40"/>
            </w:pPr>
            <w:r>
              <w:rPr>
                <w:sz w:val="18"/>
              </w:rPr>
            </w:r>
            <w:r>
              <w:rPr>
                <w:b/>
                <w:i w:val="0"/>
                <w:sz w:val="18"/>
              </w:rPr>
              <w:t>Beta blockers</w:t>
            </w:r>
          </w:p>
        </w:tc>
        <w:tc>
          <w:tcPr>
            <w:tcW w:type="dxa" w:w="7272"/>
          </w:tcPr>
          <w:p>
            <w:pPr>
              <w:spacing w:after="40"/>
            </w:pPr>
            <w:r>
              <w:rPr>
                <w:sz w:val="18"/>
              </w:rPr>
            </w:r>
            <w:r>
              <w:rPr>
                <w:b w:val="0"/>
                <w:i w:val="0"/>
                <w:sz w:val="18"/>
              </w:rPr>
              <w:t>Do not stop suddenly; expect dizziness and fatigue [slide 19]</w:t>
            </w:r>
          </w:p>
        </w:tc>
      </w:tr>
      <w:tr>
        <w:tc>
          <w:tcPr>
            <w:tcW w:type="dxa" w:w="7272"/>
          </w:tcPr>
          <w:p>
            <w:pPr>
              <w:spacing w:after="40"/>
            </w:pPr>
            <w:r>
              <w:rPr>
                <w:sz w:val="18"/>
              </w:rPr>
            </w:r>
            <w:r>
              <w:rPr>
                <w:b/>
                <w:i w:val="0"/>
                <w:sz w:val="18"/>
              </w:rPr>
              <w:t>Calcium channel blockers</w:t>
            </w:r>
          </w:p>
        </w:tc>
        <w:tc>
          <w:tcPr>
            <w:tcW w:type="dxa" w:w="7272"/>
          </w:tcPr>
          <w:p>
            <w:pPr>
              <w:spacing w:after="40"/>
            </w:pPr>
            <w:r>
              <w:rPr>
                <w:sz w:val="18"/>
              </w:rPr>
            </w:r>
            <w:r>
              <w:rPr>
                <w:b w:val="0"/>
                <w:i w:val="0"/>
                <w:sz w:val="18"/>
              </w:rPr>
              <w:t>Expect dizziness and constipation [slide 24]</w:t>
            </w:r>
          </w:p>
        </w:tc>
      </w:tr>
      <w:tr>
        <w:tc>
          <w:tcPr>
            <w:tcW w:type="dxa" w:w="7272"/>
          </w:tcPr>
          <w:p>
            <w:pPr>
              <w:spacing w:after="40"/>
            </w:pPr>
            <w:r>
              <w:rPr>
                <w:sz w:val="18"/>
              </w:rPr>
            </w:r>
            <w:r>
              <w:rPr>
                <w:b/>
                <w:i w:val="0"/>
                <w:sz w:val="18"/>
              </w:rPr>
              <w:t>Short-acting nitrates</w:t>
            </w:r>
          </w:p>
        </w:tc>
        <w:tc>
          <w:tcPr>
            <w:tcW w:type="dxa" w:w="7272"/>
          </w:tcPr>
          <w:p>
            <w:pPr>
              <w:spacing w:after="40"/>
            </w:pPr>
            <w:r>
              <w:rPr>
                <w:sz w:val="18"/>
              </w:rPr>
            </w:r>
            <w:r>
              <w:rPr>
                <w:b w:val="0"/>
                <w:i w:val="0"/>
                <w:sz w:val="18"/>
              </w:rPr>
              <w:t>Warn about orthostatic hypotension; store in the original packaging in a cool, dry place; replace tablets 3 to 6 months after opening (course rule; current labeling differs, see 5.4); apply or spray under the tongue; call emergency medical services if there is no relief five minutes after the first dose [slides 27 and 28]</w:t>
            </w:r>
          </w:p>
        </w:tc>
      </w:tr>
      <w:tr>
        <w:tc>
          <w:tcPr>
            <w:tcW w:type="dxa" w:w="7272"/>
          </w:tcPr>
          <w:p>
            <w:pPr>
              <w:spacing w:after="40"/>
            </w:pPr>
            <w:r>
              <w:rPr>
                <w:sz w:val="18"/>
              </w:rPr>
            </w:r>
            <w:r>
              <w:rPr>
                <w:b/>
                <w:i w:val="0"/>
                <w:sz w:val="18"/>
              </w:rPr>
              <w:t>Long-acting nitrates</w:t>
            </w:r>
          </w:p>
        </w:tc>
        <w:tc>
          <w:tcPr>
            <w:tcW w:type="dxa" w:w="7272"/>
          </w:tcPr>
          <w:p>
            <w:pPr>
              <w:spacing w:after="40"/>
            </w:pPr>
            <w:r>
              <w:rPr>
                <w:sz w:val="18"/>
              </w:rPr>
            </w:r>
            <w:r>
              <w:rPr>
                <w:b w:val="0"/>
                <w:i w:val="0"/>
                <w:sz w:val="18"/>
              </w:rPr>
              <w:t>12 hours on and 12 hours off for ointment and patch; wipe off the previous ointment dose before applying the next; keep the ointment covered with the applicator paper; expect headache, flushing and postural hypotension [slide 31]</w:t>
            </w:r>
          </w:p>
        </w:tc>
      </w:tr>
      <w:tr>
        <w:tc>
          <w:tcPr>
            <w:tcW w:type="dxa" w:w="7272"/>
          </w:tcPr>
          <w:p>
            <w:pPr>
              <w:spacing w:after="40"/>
            </w:pPr>
            <w:r>
              <w:rPr>
                <w:sz w:val="18"/>
              </w:rPr>
            </w:r>
            <w:r>
              <w:rPr>
                <w:b/>
                <w:i w:val="0"/>
                <w:sz w:val="18"/>
              </w:rPr>
              <w:t>Nitrates and erectile dysfunction drugs</w:t>
            </w:r>
          </w:p>
        </w:tc>
        <w:tc>
          <w:tcPr>
            <w:tcW w:type="dxa" w:w="7272"/>
          </w:tcPr>
          <w:p>
            <w:pPr>
              <w:spacing w:after="40"/>
            </w:pPr>
            <w:r>
              <w:rPr>
                <w:sz w:val="18"/>
              </w:rPr>
            </w:r>
            <w:r>
              <w:rPr>
                <w:b w:val="0"/>
                <w:i w:val="0"/>
                <w:sz w:val="18"/>
              </w:rPr>
              <w:t>Counsel patients taking a nitrate, such as isosorbide mononitrate, to avoid combining it with sildenafil, tadalafil or vardenafil; the combination can cause hypotension, myocardial infarction or stroke [slide 33]</w:t>
            </w:r>
          </w:p>
        </w:tc>
      </w:tr>
      <w:tr>
        <w:tc>
          <w:tcPr>
            <w:tcW w:type="dxa" w:w="7272"/>
          </w:tcPr>
          <w:p>
            <w:pPr>
              <w:spacing w:after="40"/>
            </w:pPr>
            <w:r>
              <w:rPr>
                <w:sz w:val="18"/>
              </w:rPr>
            </w:r>
            <w:r>
              <w:rPr>
                <w:b/>
                <w:i w:val="0"/>
                <w:sz w:val="18"/>
              </w:rPr>
              <w:t>Aspirin in chest pain</w:t>
            </w:r>
          </w:p>
        </w:tc>
        <w:tc>
          <w:tcPr>
            <w:tcW w:type="dxa" w:w="7272"/>
          </w:tcPr>
          <w:p>
            <w:pPr>
              <w:spacing w:after="40"/>
            </w:pPr>
            <w:r>
              <w:rPr>
                <w:sz w:val="18"/>
              </w:rPr>
            </w:r>
            <w:r>
              <w:rPr>
                <w:b w:val="0"/>
                <w:i w:val="0"/>
                <w:sz w:val="18"/>
              </w:rPr>
              <w:t>Chew and swallow at the first signs of chest pain [slide 52]</w:t>
            </w:r>
          </w:p>
        </w:tc>
      </w:tr>
    </w:tbl>
    <w:p>
      <w:pPr>
        <w:spacing w:after="80"/>
      </w:pP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