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Diuretics Compared by Site of Action</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3 · Class of 2028</w:t>
      </w:r>
    </w:p>
    <w:p>
      <w:pPr>
        <w:spacing w:after="120"/>
      </w:pPr>
      <w:r>
        <w:rPr>
          <w:b w:val="0"/>
          <w:i w:val="0"/>
        </w:rPr>
        <w:t>The five diuretic classes in order down the nephron: where each works, how, how strong it is, what it does to potassium, calcium and magnesium, what else it changes, what it is for, what it causes and what it interacts with.</w:t>
      </w:r>
    </w:p>
    <w:p>
      <w:pPr>
        <w:pStyle w:val="Heading1"/>
        <w:spacing w:before="280" w:after="100"/>
      </w:pPr>
      <w:r>
        <w:rPr>
          <w:rFonts w:ascii="Georgia" w:hAnsi="Georgia"/>
          <w:color w:val="6B3524"/>
        </w:rPr>
        <w:t>Lecture 9 — Diuretics and Heart Failure Drugs 5 rows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Read the potency column top to bottom.</w:t>
            </w:r>
            <w:r>
              <w:rPr>
                <w:b w:val="0"/>
                <w:i w:val="0"/>
              </w:rPr>
              <w:t xml:space="preserve"> Where the drug acts predicts its strength: the thick ascending limb handles about a quarter of the filtered sodium, the distal tubule about 5 percent and the collecting duct 2 to 3 percent. </w:t>
            </w:r>
            <w:r>
              <w:rPr>
                <w:b/>
                <w:i w:val="0"/>
              </w:rPr>
              <w:t>Know the potassium effect of every row:</w:t>
            </w:r>
            <w:r>
              <w:rPr>
                <w:b w:val="0"/>
                <w:i w:val="0"/>
              </w:rPr>
              <w:t xml:space="preserve"> loops, thiazides and carbonic anhydrase inhibitors lower potassium; potassium-sparing diuretics and aldosterone antagonists raise it. </w:t>
            </w:r>
            <w:r>
              <w:rPr>
                <w:b/>
                <w:i w:val="0"/>
              </w:rPr>
              <w:t>Calcium splits the loops from the thiazides:</w:t>
            </w:r>
            <w:r>
              <w:rPr>
                <w:b w:val="0"/>
                <w:i w:val="0"/>
              </w:rPr>
              <w:t xml:space="preserve"> loops waste calcium (used for hypercalcemia), thiazides hold on to it (fewer calcium stones). All of them share the volume-depletion side effects (reflex activation of the renin-angiotensin system, aldosterone and antidiuretic hormone, contraction alkalosis, hyperglycemia, hyperuricemia); the weaker the diuretic, the milder these are. </w:t>
            </w:r>
            <w:r>
              <w:rPr>
                <w:b/>
                <w:i w:val="0"/>
              </w:rPr>
              <w:t>Carbonic anhydrase inhibitors are the one class that causes an acidosis.</w:t>
            </w:r>
            <w:r>
              <w:rPr>
                <w:b w:val="0"/>
                <w:i w:val="0"/>
              </w:rPr>
              <w:t xml:space="preserve"> (Added background: furosemide, bumetanide and ethacrynic acid carry a Food and Drug Administration (FDA) boxed warning for profound diuresis, and amiloride and triamterene for hyperkalemia.)</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454"/>
        <w:gridCol w:w="1454"/>
        <w:gridCol w:w="1454"/>
        <w:gridCol w:w="1454"/>
        <w:gridCol w:w="1454"/>
        <w:gridCol w:w="1454"/>
        <w:gridCol w:w="1454"/>
        <w:gridCol w:w="1454"/>
        <w:gridCol w:w="1454"/>
        <w:gridCol w:w="1454"/>
      </w:tblGrid>
      <w:tr>
        <w:tc>
          <w:tcPr>
            <w:tcW w:type="dxa" w:w="1454"/>
            <w:shd w:val="clear" w:color="auto" w:fill="6B3524"/>
          </w:tcPr>
          <w:p>
            <w:pPr>
              <w:spacing w:after="40"/>
            </w:pPr>
            <w:r>
              <w:rPr>
                <w:b/>
                <w:color w:val="FFFFFF"/>
                <w:sz w:val="18"/>
              </w:rPr>
            </w:r>
            <w:r>
              <w:rPr>
                <w:b/>
                <w:i w:val="0"/>
                <w:color w:val="FFFFFF"/>
                <w:sz w:val="18"/>
              </w:rPr>
              <w:t>Class and examples</w:t>
            </w:r>
          </w:p>
        </w:tc>
        <w:tc>
          <w:tcPr>
            <w:tcW w:type="dxa" w:w="1454"/>
            <w:shd w:val="clear" w:color="auto" w:fill="6B3524"/>
          </w:tcPr>
          <w:p>
            <w:pPr>
              <w:spacing w:after="40"/>
            </w:pPr>
            <w:r>
              <w:rPr>
                <w:b/>
                <w:color w:val="FFFFFF"/>
                <w:sz w:val="18"/>
              </w:rPr>
            </w:r>
            <w:r>
              <w:rPr>
                <w:b/>
                <w:i w:val="0"/>
                <w:color w:val="FFFFFF"/>
                <w:sz w:val="18"/>
              </w:rPr>
              <w:t>Site on the nephron</w:t>
            </w:r>
          </w:p>
        </w:tc>
        <w:tc>
          <w:tcPr>
            <w:tcW w:type="dxa" w:w="1454"/>
            <w:shd w:val="clear" w:color="auto" w:fill="6B3524"/>
          </w:tcPr>
          <w:p>
            <w:pPr>
              <w:spacing w:after="40"/>
            </w:pPr>
            <w:r>
              <w:rPr>
                <w:b/>
                <w:color w:val="FFFFFF"/>
                <w:sz w:val="18"/>
              </w:rPr>
            </w:r>
            <w:r>
              <w:rPr>
                <w:b/>
                <w:i w:val="0"/>
                <w:color w:val="FFFFFF"/>
                <w:sz w:val="18"/>
              </w:rPr>
              <w:t>How it works</w:t>
            </w:r>
          </w:p>
        </w:tc>
        <w:tc>
          <w:tcPr>
            <w:tcW w:type="dxa" w:w="1454"/>
            <w:shd w:val="clear" w:color="auto" w:fill="6B3524"/>
          </w:tcPr>
          <w:p>
            <w:pPr>
              <w:spacing w:after="40"/>
            </w:pPr>
            <w:r>
              <w:rPr>
                <w:b/>
                <w:color w:val="FFFFFF"/>
                <w:sz w:val="18"/>
              </w:rPr>
            </w:r>
            <w:r>
              <w:rPr>
                <w:b/>
                <w:i w:val="0"/>
                <w:color w:val="FFFFFF"/>
                <w:sz w:val="18"/>
              </w:rPr>
              <w:t>Sodium chloride inhibited and urine output</w:t>
            </w:r>
          </w:p>
        </w:tc>
        <w:tc>
          <w:tcPr>
            <w:tcW w:type="dxa" w:w="1454"/>
            <w:shd w:val="clear" w:color="auto" w:fill="6B3524"/>
          </w:tcPr>
          <w:p>
            <w:pPr>
              <w:spacing w:after="40"/>
            </w:pPr>
            <w:r>
              <w:rPr>
                <w:b/>
                <w:color w:val="FFFFFF"/>
                <w:sz w:val="18"/>
              </w:rPr>
            </w:r>
            <w:r>
              <w:rPr>
                <w:b/>
                <w:i w:val="0"/>
                <w:color w:val="FFFFFF"/>
                <w:sz w:val="18"/>
              </w:rPr>
              <w:t>Effect on potassium, calcium, magnesium</w:t>
            </w:r>
          </w:p>
        </w:tc>
        <w:tc>
          <w:tcPr>
            <w:tcW w:type="dxa" w:w="1454"/>
            <w:shd w:val="clear" w:color="auto" w:fill="6B3524"/>
          </w:tcPr>
          <w:p>
            <w:pPr>
              <w:spacing w:after="40"/>
            </w:pPr>
            <w:r>
              <w:rPr>
                <w:b/>
                <w:color w:val="FFFFFF"/>
                <w:sz w:val="18"/>
              </w:rPr>
            </w:r>
            <w:r>
              <w:rPr>
                <w:b/>
                <w:i w:val="0"/>
                <w:color w:val="FFFFFF"/>
                <w:sz w:val="18"/>
              </w:rPr>
              <w:t>Uric acid, glucose, acid-base</w:t>
            </w:r>
          </w:p>
        </w:tc>
        <w:tc>
          <w:tcPr>
            <w:tcW w:type="dxa" w:w="1454"/>
            <w:shd w:val="clear" w:color="auto" w:fill="6B3524"/>
          </w:tcPr>
          <w:p>
            <w:pPr>
              <w:spacing w:after="40"/>
            </w:pPr>
            <w:r>
              <w:rPr>
                <w:b/>
                <w:color w:val="FFFFFF"/>
                <w:sz w:val="18"/>
              </w:rPr>
            </w:r>
            <w:r>
              <w:rPr>
                <w:b/>
                <w:i w:val="0"/>
                <w:color w:val="FFFFFF"/>
                <w:sz w:val="18"/>
              </w:rPr>
              <w:t>Indications</w:t>
            </w:r>
          </w:p>
        </w:tc>
        <w:tc>
          <w:tcPr>
            <w:tcW w:type="dxa" w:w="1454"/>
            <w:shd w:val="clear" w:color="auto" w:fill="6B3524"/>
          </w:tcPr>
          <w:p>
            <w:pPr>
              <w:spacing w:after="40"/>
            </w:pPr>
            <w:r>
              <w:rPr>
                <w:b/>
                <w:color w:val="FFFFFF"/>
                <w:sz w:val="18"/>
              </w:rPr>
            </w:r>
            <w:r>
              <w:rPr>
                <w:b/>
                <w:i w:val="0"/>
                <w:color w:val="FFFFFF"/>
                <w:sz w:val="18"/>
              </w:rPr>
              <w:t>Main adverse effects</w:t>
            </w:r>
          </w:p>
        </w:tc>
        <w:tc>
          <w:tcPr>
            <w:tcW w:type="dxa" w:w="1454"/>
            <w:shd w:val="clear" w:color="auto" w:fill="6B3524"/>
          </w:tcPr>
          <w:p>
            <w:pPr>
              <w:spacing w:after="40"/>
            </w:pPr>
            <w:r>
              <w:rPr>
                <w:b/>
                <w:color w:val="FFFFFF"/>
                <w:sz w:val="18"/>
              </w:rPr>
            </w:r>
            <w:r>
              <w:rPr>
                <w:b/>
                <w:i w:val="0"/>
                <w:color w:val="FFFFFF"/>
                <w:sz w:val="18"/>
              </w:rPr>
              <w:t>Interactions and pearls</w:t>
            </w:r>
          </w:p>
        </w:tc>
        <w:tc>
          <w:tcPr>
            <w:tcW w:type="dxa" w:w="1454"/>
            <w:shd w:val="clear" w:color="auto" w:fill="6B3524"/>
          </w:tcPr>
          <w:p>
            <w:pPr>
              <w:spacing w:after="40"/>
            </w:pPr>
            <w:r>
              <w:rPr>
                <w:b/>
                <w:color w:val="FFFFFF"/>
                <w:sz w:val="18"/>
              </w:rPr>
            </w:r>
            <w:r>
              <w:rPr>
                <w:b/>
                <w:i w:val="0"/>
                <w:color w:val="FFFFFF"/>
                <w:sz w:val="18"/>
              </w:rPr>
              <w:t>Source</w:t>
            </w:r>
          </w:p>
        </w:tc>
      </w:tr>
      <w:tr>
        <w:tc>
          <w:tcPr>
            <w:tcW w:type="dxa" w:w="1454"/>
          </w:tcPr>
          <w:p>
            <w:pPr>
              <w:spacing w:after="40"/>
            </w:pPr>
            <w:r>
              <w:rPr>
                <w:sz w:val="18"/>
              </w:rPr>
            </w:r>
            <w:r>
              <w:rPr>
                <w:b/>
                <w:i w:val="0"/>
                <w:sz w:val="18"/>
              </w:rPr>
              <w:t>Loop diuretics</w:t>
            </w:r>
            <w:r>
              <w:rPr>
                <w:sz w:val="18"/>
              </w:rPr>
              <w:br/>
            </w:r>
            <w:r>
              <w:rPr>
                <w:b w:val="0"/>
                <w:i w:val="0"/>
                <w:sz w:val="18"/>
              </w:rPr>
              <w:t>furosemide, bumetanide, torsemide, ethacrynic acid</w:t>
            </w:r>
          </w:p>
        </w:tc>
        <w:tc>
          <w:tcPr>
            <w:tcW w:type="dxa" w:w="1454"/>
          </w:tcPr>
          <w:p>
            <w:pPr>
              <w:spacing w:after="40"/>
            </w:pPr>
            <w:r>
              <w:rPr>
                <w:sz w:val="18"/>
              </w:rPr>
            </w:r>
            <w:r>
              <w:rPr>
                <w:b w:val="0"/>
                <w:i w:val="0"/>
                <w:sz w:val="18"/>
              </w:rPr>
              <w:t>Thick ascending limb of the loop of Henle (about 25 percent of sodium is reabsorbed there)</w:t>
            </w:r>
          </w:p>
        </w:tc>
        <w:tc>
          <w:tcPr>
            <w:tcW w:type="dxa" w:w="1454"/>
          </w:tcPr>
          <w:p>
            <w:pPr>
              <w:spacing w:after="40"/>
            </w:pPr>
            <w:r>
              <w:rPr>
                <w:sz w:val="18"/>
              </w:rPr>
            </w:r>
            <w:r>
              <w:rPr>
                <w:b w:val="0"/>
                <w:i w:val="0"/>
                <w:sz w:val="18"/>
              </w:rPr>
              <w:t>Inhibit the sodium-potassium-2 chloride carrier on the luminal membrane</w:t>
            </w:r>
          </w:p>
        </w:tc>
        <w:tc>
          <w:tcPr>
            <w:tcW w:type="dxa" w:w="1454"/>
          </w:tcPr>
          <w:p>
            <w:pPr>
              <w:spacing w:after="40"/>
            </w:pPr>
            <w:r>
              <w:rPr>
                <w:sz w:val="18"/>
              </w:rPr>
            </w:r>
            <w:r>
              <w:rPr>
                <w:b/>
                <w:i w:val="0"/>
                <w:sz w:val="18"/>
              </w:rPr>
              <w:t>Most potent:</w:t>
            </w:r>
            <w:r>
              <w:rPr>
                <w:b w:val="0"/>
                <w:i w:val="0"/>
                <w:sz w:val="18"/>
              </w:rPr>
              <w:t xml:space="preserve"> inhibit sodium chloride reabsorption by 20 to 25 percent; urine output up to 4 liters per day</w:t>
            </w:r>
          </w:p>
        </w:tc>
        <w:tc>
          <w:tcPr>
            <w:tcW w:type="dxa" w:w="1454"/>
          </w:tcPr>
          <w:p>
            <w:pPr>
              <w:spacing w:after="40"/>
            </w:pPr>
            <w:r>
              <w:rPr>
                <w:sz w:val="18"/>
              </w:rPr>
            </w:r>
            <w:r>
              <w:rPr>
                <w:b w:val="0"/>
                <w:i w:val="0"/>
                <w:sz w:val="18"/>
              </w:rPr>
              <w:t>Increase potassium excretion (hypokalemia); increase calcium and magnesium excretion</w:t>
            </w:r>
          </w:p>
        </w:tc>
        <w:tc>
          <w:tcPr>
            <w:tcW w:type="dxa" w:w="1454"/>
          </w:tcPr>
          <w:p>
            <w:pPr>
              <w:spacing w:after="40"/>
            </w:pPr>
            <w:r>
              <w:rPr>
                <w:sz w:val="18"/>
              </w:rPr>
            </w:r>
            <w:r>
              <w:rPr>
                <w:b w:val="0"/>
                <w:i w:val="0"/>
                <w:sz w:val="18"/>
              </w:rPr>
              <w:t>Hyperglycemia; less uric acid excreted (gout); mild metabolic (contraction) alkalosis; mild hyperlipidemia</w:t>
            </w:r>
          </w:p>
        </w:tc>
        <w:tc>
          <w:tcPr>
            <w:tcW w:type="dxa" w:w="1454"/>
          </w:tcPr>
          <w:p>
            <w:pPr>
              <w:spacing w:after="40"/>
            </w:pPr>
            <w:r>
              <w:rPr>
                <w:sz w:val="18"/>
              </w:rPr>
            </w:r>
            <w:r>
              <w:rPr>
                <w:b w:val="0"/>
                <w:i w:val="0"/>
                <w:sz w:val="18"/>
              </w:rPr>
              <w:t xml:space="preserve">Pulmonary edema, nephrotic syndrome, cirrhosis with ascites, hypercalcemia (with saline), heart failure, renal failure, hypertension; </w:t>
            </w:r>
            <w:r>
              <w:rPr>
                <w:b/>
                <w:i w:val="0"/>
                <w:sz w:val="18"/>
              </w:rPr>
              <w:t>still work when creatinine clearance is below 30 mL/min</w:t>
            </w:r>
          </w:p>
        </w:tc>
        <w:tc>
          <w:tcPr>
            <w:tcW w:type="dxa" w:w="1454"/>
          </w:tcPr>
          <w:p>
            <w:pPr>
              <w:spacing w:after="40"/>
            </w:pPr>
            <w:r>
              <w:rPr>
                <w:sz w:val="18"/>
              </w:rPr>
            </w:r>
            <w:r>
              <w:rPr>
                <w:b w:val="0"/>
                <w:i w:val="0"/>
                <w:sz w:val="18"/>
              </w:rPr>
              <w:t xml:space="preserve">Volume depletion, hypokalemia (arrhythmias), hyperglycemia, contraction alkalosis, gout, </w:t>
            </w:r>
            <w:r>
              <w:rPr>
                <w:b/>
                <w:i w:val="0"/>
                <w:sz w:val="18"/>
              </w:rPr>
              <w:t>ototoxicity</w:t>
            </w:r>
            <w:r>
              <w:rPr>
                <w:b w:val="0"/>
                <w:i w:val="0"/>
                <w:sz w:val="18"/>
              </w:rPr>
              <w:t>, hyponatremia (seizures), rash, photosensitivity, azotemia</w:t>
            </w:r>
          </w:p>
        </w:tc>
        <w:tc>
          <w:tcPr>
            <w:tcW w:type="dxa" w:w="1454"/>
          </w:tcPr>
          <w:p>
            <w:pPr>
              <w:spacing w:after="40"/>
            </w:pPr>
            <w:r>
              <w:rPr>
                <w:sz w:val="18"/>
              </w:rPr>
            </w:r>
            <w:r>
              <w:rPr>
                <w:b w:val="0"/>
                <w:i w:val="0"/>
                <w:sz w:val="18"/>
              </w:rPr>
              <w:t>NSAIDs (nonsteroidal anti-inflammatory drugs) blunt the natriuretic and blood pressure response; aminoglycosides potentiate ototoxicity; warfarin (protein-binding competition); lithium clearance falls; digoxin arrhythmias with low potassium and magnesium. The vasodilator effect involves prostaglandins.</w:t>
            </w:r>
          </w:p>
        </w:tc>
        <w:tc>
          <w:tcPr>
            <w:tcW w:type="dxa" w:w="1454"/>
          </w:tcPr>
          <w:p>
            <w:pPr>
              <w:spacing w:after="40"/>
            </w:pPr>
            <w:r>
              <w:rPr>
                <w:sz w:val="18"/>
              </w:rPr>
            </w:r>
            <w:r>
              <w:rPr>
                <w:b w:val="0"/>
                <w:i w:val="0"/>
                <w:sz w:val="18"/>
              </w:rPr>
              <w:t>L9</w:t>
            </w:r>
            <w:r>
              <w:rPr>
                <w:sz w:val="18"/>
              </w:rPr>
              <w:br/>
            </w:r>
            <w:r>
              <w:rPr>
                <w:b w:val="0"/>
                <w:i w:val="0"/>
                <w:sz w:val="18"/>
              </w:rPr>
              <w:t>slide 12</w:t>
            </w:r>
            <w:r>
              <w:rPr>
                <w:sz w:val="18"/>
              </w:rPr>
              <w:br/>
            </w:r>
            <w:r>
              <w:rPr>
                <w:b w:val="0"/>
                <w:i w:val="0"/>
                <w:sz w:val="18"/>
              </w:rPr>
              <w:t>slide 9</w:t>
            </w:r>
            <w:r>
              <w:rPr>
                <w:sz w:val="18"/>
              </w:rPr>
              <w:br/>
            </w:r>
            <w:r>
              <w:rPr>
                <w:b w:val="0"/>
                <w:i w:val="0"/>
                <w:sz w:val="18"/>
              </w:rPr>
              <w:t>slide 13</w:t>
            </w:r>
            <w:r>
              <w:rPr>
                <w:sz w:val="18"/>
              </w:rPr>
              <w:br/>
            </w:r>
            <w:r>
              <w:rPr>
                <w:b w:val="0"/>
                <w:i w:val="0"/>
                <w:sz w:val="18"/>
              </w:rPr>
              <w:t>slide 14</w:t>
            </w:r>
            <w:r>
              <w:rPr>
                <w:sz w:val="18"/>
              </w:rPr>
              <w:br/>
            </w:r>
            <w:r>
              <w:rPr>
                <w:b w:val="0"/>
                <w:i w:val="0"/>
                <w:sz w:val="18"/>
              </w:rPr>
              <w:t>slide 15</w:t>
            </w:r>
            <w:r>
              <w:rPr>
                <w:sz w:val="18"/>
              </w:rPr>
              <w:br/>
            </w:r>
            <w:r>
              <w:rPr>
                <w:b w:val="0"/>
                <w:i w:val="0"/>
                <w:sz w:val="18"/>
              </w:rPr>
              <w:t>slide 16</w:t>
            </w:r>
            <w:r>
              <w:rPr>
                <w:sz w:val="18"/>
              </w:rPr>
              <w:br/>
            </w:r>
            <w:r>
              <w:rPr>
                <w:b w:val="0"/>
                <w:i w:val="0"/>
                <w:sz w:val="18"/>
              </w:rPr>
              <w:t>slide 17</w:t>
            </w:r>
            <w:r>
              <w:rPr>
                <w:sz w:val="18"/>
              </w:rPr>
              <w:br/>
            </w:r>
            <w:r>
              <w:rPr>
                <w:b w:val="0"/>
                <w:i w:val="0"/>
                <w:sz w:val="18"/>
              </w:rPr>
              <w:t>slide 18</w:t>
            </w:r>
            <w:r>
              <w:rPr>
                <w:sz w:val="18"/>
              </w:rPr>
              <w:br/>
            </w:r>
            <w:r>
              <w:rPr>
                <w:b w:val="0"/>
                <w:i w:val="0"/>
                <w:sz w:val="18"/>
              </w:rPr>
              <w:t>slide 19</w:t>
            </w:r>
          </w:p>
        </w:tc>
      </w:tr>
      <w:tr>
        <w:tc>
          <w:tcPr>
            <w:tcW w:type="dxa" w:w="1454"/>
          </w:tcPr>
          <w:p>
            <w:pPr>
              <w:spacing w:after="40"/>
            </w:pPr>
            <w:r>
              <w:rPr>
                <w:sz w:val="18"/>
              </w:rPr>
            </w:r>
            <w:r>
              <w:rPr>
                <w:b/>
                <w:i w:val="0"/>
                <w:sz w:val="18"/>
              </w:rPr>
              <w:t>Thiazide diuretics</w:t>
            </w:r>
            <w:r>
              <w:rPr>
                <w:sz w:val="18"/>
              </w:rPr>
              <w:br/>
            </w:r>
            <w:r>
              <w:rPr>
                <w:b w:val="0"/>
                <w:i w:val="0"/>
                <w:sz w:val="18"/>
              </w:rPr>
              <w:t>hydrochlorothiazide, chlorothiazide, chlorthalidone, metolazone, indapamide</w:t>
            </w:r>
          </w:p>
        </w:tc>
        <w:tc>
          <w:tcPr>
            <w:tcW w:type="dxa" w:w="1454"/>
          </w:tcPr>
          <w:p>
            <w:pPr>
              <w:spacing w:after="40"/>
            </w:pPr>
            <w:r>
              <w:rPr>
                <w:sz w:val="18"/>
              </w:rPr>
            </w:r>
            <w:r>
              <w:rPr>
                <w:b w:val="0"/>
                <w:i w:val="0"/>
                <w:sz w:val="18"/>
              </w:rPr>
              <w:t>Distal convoluted tubule (about 5 percent of sodium is reabsorbed there)</w:t>
            </w:r>
          </w:p>
        </w:tc>
        <w:tc>
          <w:tcPr>
            <w:tcW w:type="dxa" w:w="1454"/>
          </w:tcPr>
          <w:p>
            <w:pPr>
              <w:spacing w:after="40"/>
            </w:pPr>
            <w:r>
              <w:rPr>
                <w:sz w:val="18"/>
              </w:rPr>
            </w:r>
            <w:r>
              <w:rPr>
                <w:b w:val="0"/>
                <w:i w:val="0"/>
                <w:sz w:val="18"/>
              </w:rPr>
              <w:t>Inhibit the sodium-chloride transporter on the luminal membrane</w:t>
            </w:r>
          </w:p>
        </w:tc>
        <w:tc>
          <w:tcPr>
            <w:tcW w:type="dxa" w:w="1454"/>
          </w:tcPr>
          <w:p>
            <w:pPr>
              <w:spacing w:after="40"/>
            </w:pPr>
            <w:r>
              <w:rPr>
                <w:sz w:val="18"/>
              </w:rPr>
            </w:r>
            <w:r>
              <w:rPr>
                <w:b w:val="0"/>
                <w:i w:val="0"/>
                <w:sz w:val="18"/>
              </w:rPr>
              <w:t>Inhibit up to 5 percent of filtered sodium chloride; urine output 1 to 2 liters per day</w:t>
            </w:r>
          </w:p>
        </w:tc>
        <w:tc>
          <w:tcPr>
            <w:tcW w:type="dxa" w:w="1454"/>
          </w:tcPr>
          <w:p>
            <w:pPr>
              <w:spacing w:after="40"/>
            </w:pPr>
            <w:r>
              <w:rPr>
                <w:sz w:val="18"/>
              </w:rPr>
            </w:r>
            <w:r>
              <w:rPr>
                <w:b w:val="0"/>
                <w:i w:val="0"/>
                <w:sz w:val="18"/>
              </w:rPr>
              <w:t xml:space="preserve">Increase potassium and magnesium excretion; </w:t>
            </w:r>
            <w:r>
              <w:rPr>
                <w:b/>
                <w:i w:val="0"/>
                <w:sz w:val="18"/>
              </w:rPr>
              <w:t>decrease</w:t>
            </w:r>
            <w:r>
              <w:rPr>
                <w:b w:val="0"/>
                <w:i w:val="0"/>
                <w:sz w:val="18"/>
              </w:rPr>
              <w:t xml:space="preserve"> calcium excretion (more is reabsorbed)</w:t>
            </w:r>
          </w:p>
        </w:tc>
        <w:tc>
          <w:tcPr>
            <w:tcW w:type="dxa" w:w="1454"/>
          </w:tcPr>
          <w:p>
            <w:pPr>
              <w:spacing w:after="40"/>
            </w:pPr>
            <w:r>
              <w:rPr>
                <w:sz w:val="18"/>
              </w:rPr>
            </w:r>
            <w:r>
              <w:rPr>
                <w:b w:val="0"/>
                <w:i w:val="0"/>
                <w:sz w:val="18"/>
              </w:rPr>
              <w:t>Hyperglycemia (less insulin), hyperuricemia and gout, metabolic alkalosis; low-density lipoprotein (LDL) cholesterol rises</w:t>
            </w:r>
          </w:p>
        </w:tc>
        <w:tc>
          <w:tcPr>
            <w:tcW w:type="dxa" w:w="1454"/>
          </w:tcPr>
          <w:p>
            <w:pPr>
              <w:spacing w:after="40"/>
            </w:pPr>
            <w:r>
              <w:rPr>
                <w:sz w:val="18"/>
              </w:rPr>
            </w:r>
            <w:r>
              <w:rPr>
                <w:b/>
                <w:i w:val="0"/>
                <w:sz w:val="18"/>
              </w:rPr>
              <w:t>Hypertension</w:t>
            </w:r>
            <w:r>
              <w:rPr>
                <w:b w:val="0"/>
                <w:i w:val="0"/>
                <w:sz w:val="18"/>
              </w:rPr>
              <w:t xml:space="preserve"> (low dose preferred; best in elderly patients, African American patients and sodium-retentive states), renal failure, cirrhosis, heart failure, calcium oxalate kidney stones (a small rise in serum calcium is a side effect, but urinary calcium falls)</w:t>
            </w:r>
          </w:p>
        </w:tc>
        <w:tc>
          <w:tcPr>
            <w:tcW w:type="dxa" w:w="1454"/>
          </w:tcPr>
          <w:p>
            <w:pPr>
              <w:spacing w:after="40"/>
            </w:pPr>
            <w:r>
              <w:rPr>
                <w:sz w:val="18"/>
              </w:rPr>
            </w:r>
            <w:r>
              <w:rPr>
                <w:b w:val="0"/>
                <w:i w:val="0"/>
                <w:sz w:val="18"/>
              </w:rPr>
              <w:t xml:space="preserve">Volume depletion, hypokalemia, alkalosis, gout, hyperglycemia, </w:t>
            </w:r>
            <w:r>
              <w:rPr>
                <w:b/>
                <w:i w:val="0"/>
                <w:sz w:val="18"/>
              </w:rPr>
              <w:t>hypercalcemia</w:t>
            </w:r>
            <w:r>
              <w:rPr>
                <w:b w:val="0"/>
                <w:i w:val="0"/>
                <w:sz w:val="18"/>
              </w:rPr>
              <w:t>, hyperlipidemia, rash, photosensitivity, dizziness, headache, weakness, sexual dysfunction, constipation</w:t>
            </w:r>
          </w:p>
        </w:tc>
        <w:tc>
          <w:tcPr>
            <w:tcW w:type="dxa" w:w="1454"/>
          </w:tcPr>
          <w:p>
            <w:pPr>
              <w:spacing w:after="40"/>
            </w:pPr>
            <w:r>
              <w:rPr>
                <w:sz w:val="18"/>
              </w:rPr>
            </w:r>
            <w:r>
              <w:rPr>
                <w:b/>
                <w:i w:val="0"/>
                <w:sz w:val="18"/>
              </w:rPr>
              <w:t>Metolazone</w:t>
            </w:r>
            <w:r>
              <w:rPr>
                <w:b w:val="0"/>
                <w:i w:val="0"/>
                <w:sz w:val="18"/>
              </w:rPr>
              <w:t xml:space="preserve"> stays effective at low creatinine clearance (thiazides in general lose effect at low clearance). NSAIDs block the prostaglandins and weaken the natriuresis. With digoxin, keep potassium above 4.0 mEq/L. Not potent enough for most heart failure. (Added background: newer trial data show chlorthalidone can still work in advanced kidney disease, so the low-clearance cutoff is not absolute.)</w:t>
            </w:r>
          </w:p>
        </w:tc>
        <w:tc>
          <w:tcPr>
            <w:tcW w:type="dxa" w:w="1454"/>
          </w:tcPr>
          <w:p>
            <w:pPr>
              <w:spacing w:after="40"/>
            </w:pPr>
            <w:r>
              <w:rPr>
                <w:sz w:val="18"/>
              </w:rPr>
            </w:r>
            <w:r>
              <w:rPr>
                <w:b w:val="0"/>
                <w:i w:val="0"/>
                <w:sz w:val="18"/>
              </w:rPr>
              <w:t>L9</w:t>
            </w:r>
            <w:r>
              <w:rPr>
                <w:sz w:val="18"/>
              </w:rPr>
              <w:br/>
            </w:r>
            <w:r>
              <w:rPr>
                <w:b w:val="0"/>
                <w:i w:val="0"/>
                <w:sz w:val="18"/>
              </w:rPr>
              <w:t>slide 21</w:t>
            </w:r>
            <w:r>
              <w:rPr>
                <w:sz w:val="18"/>
              </w:rPr>
              <w:br/>
            </w:r>
            <w:r>
              <w:rPr>
                <w:b w:val="0"/>
                <w:i w:val="0"/>
                <w:sz w:val="18"/>
              </w:rPr>
              <w:t>slide 10</w:t>
            </w:r>
            <w:r>
              <w:rPr>
                <w:sz w:val="18"/>
              </w:rPr>
              <w:br/>
            </w:r>
            <w:r>
              <w:rPr>
                <w:b w:val="0"/>
                <w:i w:val="0"/>
                <w:sz w:val="18"/>
              </w:rPr>
              <w:t>slide 20</w:t>
            </w:r>
            <w:r>
              <w:rPr>
                <w:sz w:val="18"/>
              </w:rPr>
              <w:br/>
            </w:r>
            <w:r>
              <w:rPr>
                <w:b w:val="0"/>
                <w:i w:val="0"/>
                <w:sz w:val="18"/>
              </w:rPr>
              <w:t>slide 22</w:t>
            </w:r>
            <w:r>
              <w:rPr>
                <w:sz w:val="18"/>
              </w:rPr>
              <w:br/>
            </w:r>
            <w:r>
              <w:rPr>
                <w:b w:val="0"/>
                <w:i w:val="0"/>
                <w:sz w:val="18"/>
              </w:rPr>
              <w:t>slide 23</w:t>
            </w:r>
            <w:r>
              <w:rPr>
                <w:sz w:val="18"/>
              </w:rPr>
              <w:br/>
            </w:r>
            <w:r>
              <w:rPr>
                <w:b w:val="0"/>
                <w:i w:val="0"/>
                <w:sz w:val="18"/>
              </w:rPr>
              <w:t>slide 24</w:t>
            </w:r>
            <w:r>
              <w:rPr>
                <w:sz w:val="18"/>
              </w:rPr>
              <w:br/>
            </w:r>
            <w:r>
              <w:rPr>
                <w:b w:val="0"/>
                <w:i w:val="0"/>
                <w:sz w:val="18"/>
              </w:rPr>
              <w:t>slide 25</w:t>
            </w:r>
            <w:r>
              <w:rPr>
                <w:sz w:val="18"/>
              </w:rPr>
              <w:br/>
            </w:r>
            <w:r>
              <w:rPr>
                <w:b w:val="0"/>
                <w:i w:val="0"/>
                <w:sz w:val="18"/>
              </w:rPr>
              <w:t>slide 26</w:t>
            </w:r>
            <w:r>
              <w:rPr>
                <w:sz w:val="18"/>
              </w:rPr>
              <w:br/>
            </w:r>
            <w:r>
              <w:rPr>
                <w:b w:val="0"/>
                <w:i w:val="0"/>
                <w:sz w:val="18"/>
              </w:rPr>
              <w:t>slide 27</w:t>
            </w:r>
            <w:r>
              <w:rPr>
                <w:sz w:val="18"/>
              </w:rPr>
              <w:br/>
            </w:r>
            <w:r>
              <w:rPr>
                <w:b w:val="0"/>
                <w:i w:val="0"/>
                <w:sz w:val="18"/>
              </w:rPr>
              <w:t>slide 28</w:t>
            </w:r>
            <w:r>
              <w:rPr>
                <w:sz w:val="18"/>
              </w:rPr>
              <w:br/>
            </w:r>
            <w:r>
              <w:rPr>
                <w:b w:val="0"/>
                <w:i w:val="0"/>
                <w:sz w:val="18"/>
              </w:rPr>
              <w:t>slide 29</w:t>
            </w:r>
            <w:r>
              <w:rPr>
                <w:sz w:val="18"/>
              </w:rPr>
              <w:br/>
            </w:r>
            <w:r>
              <w:rPr>
                <w:b w:val="0"/>
                <w:i w:val="0"/>
                <w:sz w:val="18"/>
              </w:rPr>
              <w:t>slide 52</w:t>
            </w:r>
          </w:p>
        </w:tc>
      </w:tr>
      <w:tr>
        <w:tc>
          <w:tcPr>
            <w:tcW w:type="dxa" w:w="1454"/>
          </w:tcPr>
          <w:p>
            <w:pPr>
              <w:spacing w:after="40"/>
            </w:pPr>
            <w:r>
              <w:rPr>
                <w:sz w:val="18"/>
              </w:rPr>
            </w:r>
            <w:r>
              <w:rPr>
                <w:b/>
                <w:i w:val="0"/>
                <w:sz w:val="18"/>
              </w:rPr>
              <w:t>Potassium-sparing diuretics</w:t>
            </w:r>
            <w:r>
              <w:rPr>
                <w:sz w:val="18"/>
              </w:rPr>
              <w:br/>
            </w:r>
            <w:r>
              <w:rPr>
                <w:b w:val="0"/>
                <w:i w:val="0"/>
                <w:sz w:val="18"/>
              </w:rPr>
              <w:t>amiloride, triamterene (combined with hydrochlorothiazide in Moduretic, Dyazide, Maxzide)</w:t>
            </w:r>
          </w:p>
        </w:tc>
        <w:tc>
          <w:tcPr>
            <w:tcW w:type="dxa" w:w="1454"/>
          </w:tcPr>
          <w:p>
            <w:pPr>
              <w:spacing w:after="40"/>
            </w:pPr>
            <w:r>
              <w:rPr>
                <w:sz w:val="18"/>
              </w:rPr>
            </w:r>
            <w:r>
              <w:rPr>
                <w:b w:val="0"/>
                <w:i w:val="0"/>
                <w:sz w:val="18"/>
              </w:rPr>
              <w:t>Collecting duct (2 to 3 percent of sodium is reabsorbed there)</w:t>
            </w:r>
          </w:p>
        </w:tc>
        <w:tc>
          <w:tcPr>
            <w:tcW w:type="dxa" w:w="1454"/>
          </w:tcPr>
          <w:p>
            <w:pPr>
              <w:spacing w:after="40"/>
            </w:pPr>
            <w:r>
              <w:rPr>
                <w:sz w:val="18"/>
              </w:rPr>
            </w:r>
            <w:r>
              <w:rPr>
                <w:b w:val="0"/>
                <w:i w:val="0"/>
                <w:sz w:val="18"/>
              </w:rPr>
              <w:t>Block the luminal sodium channels, which lowers the gradient that drives potassium secretion</w:t>
            </w:r>
          </w:p>
        </w:tc>
        <w:tc>
          <w:tcPr>
            <w:tcW w:type="dxa" w:w="1454"/>
          </w:tcPr>
          <w:p>
            <w:pPr>
              <w:spacing w:after="40"/>
            </w:pPr>
            <w:r>
              <w:rPr>
                <w:sz w:val="18"/>
              </w:rPr>
            </w:r>
            <w:r>
              <w:rPr>
                <w:b w:val="0"/>
                <w:i w:val="0"/>
                <w:sz w:val="18"/>
              </w:rPr>
              <w:t xml:space="preserve">Inhibit 2 to 3 percent of sodium chloride reabsorption; </w:t>
            </w:r>
            <w:r>
              <w:rPr>
                <w:b/>
                <w:i w:val="0"/>
                <w:sz w:val="18"/>
              </w:rPr>
              <w:t>modest</w:t>
            </w:r>
            <w:r>
              <w:rPr>
                <w:b w:val="0"/>
                <w:i w:val="0"/>
                <w:sz w:val="18"/>
              </w:rPr>
              <w:t xml:space="preserve"> increase in urine flow</w:t>
            </w:r>
          </w:p>
        </w:tc>
        <w:tc>
          <w:tcPr>
            <w:tcW w:type="dxa" w:w="1454"/>
          </w:tcPr>
          <w:p>
            <w:pPr>
              <w:spacing w:after="40"/>
            </w:pPr>
            <w:r>
              <w:rPr>
                <w:sz w:val="18"/>
              </w:rPr>
            </w:r>
            <w:r>
              <w:rPr>
                <w:b/>
                <w:i w:val="0"/>
                <w:sz w:val="18"/>
              </w:rPr>
              <w:t>Potassium is held back</w:t>
            </w:r>
            <w:r>
              <w:rPr>
                <w:b w:val="0"/>
                <w:i w:val="0"/>
                <w:sz w:val="18"/>
              </w:rPr>
              <w:t xml:space="preserve"> (hyperkalemia)</w:t>
            </w:r>
          </w:p>
        </w:tc>
        <w:tc>
          <w:tcPr>
            <w:tcW w:type="dxa" w:w="1454"/>
          </w:tcPr>
          <w:p>
            <w:pPr>
              <w:spacing w:after="40"/>
            </w:pPr>
            <w:r>
              <w:rPr>
                <w:sz w:val="18"/>
              </w:rPr>
            </w:r>
            <w:r>
              <w:rPr>
                <w:b w:val="0"/>
                <w:i w:val="0"/>
                <w:sz w:val="18"/>
              </w:rPr>
              <w:t>Glucose intolerance in diabetes; a modest change in uric acid</w:t>
            </w:r>
          </w:p>
        </w:tc>
        <w:tc>
          <w:tcPr>
            <w:tcW w:type="dxa" w:w="1454"/>
          </w:tcPr>
          <w:p>
            <w:pPr>
              <w:spacing w:after="40"/>
            </w:pPr>
            <w:r>
              <w:rPr>
                <w:sz w:val="18"/>
              </w:rPr>
            </w:r>
            <w:r>
              <w:rPr>
                <w:b w:val="0"/>
                <w:i w:val="0"/>
                <w:sz w:val="18"/>
              </w:rPr>
              <w:t xml:space="preserve">Same indications as the other diuretics but </w:t>
            </w:r>
            <w:r>
              <w:rPr>
                <w:b/>
                <w:i w:val="0"/>
                <w:sz w:val="18"/>
              </w:rPr>
              <w:t>much less</w:t>
            </w:r>
            <w:r>
              <w:rPr>
                <w:b w:val="0"/>
                <w:i w:val="0"/>
                <w:sz w:val="18"/>
              </w:rPr>
              <w:t xml:space="preserve"> natriuretic and diuretic effect; used mostly </w:t>
            </w:r>
            <w:r>
              <w:rPr>
                <w:b/>
                <w:i w:val="0"/>
                <w:sz w:val="18"/>
              </w:rPr>
              <w:t>in combination</w:t>
            </w:r>
            <w:r>
              <w:rPr>
                <w:b w:val="0"/>
                <w:i w:val="0"/>
                <w:sz w:val="18"/>
              </w:rPr>
              <w:t xml:space="preserve"> with other diuretics or antihypertensive drugs</w:t>
            </w:r>
          </w:p>
        </w:tc>
        <w:tc>
          <w:tcPr>
            <w:tcW w:type="dxa" w:w="1454"/>
          </w:tcPr>
          <w:p>
            <w:pPr>
              <w:spacing w:after="40"/>
            </w:pPr>
            <w:r>
              <w:rPr>
                <w:sz w:val="18"/>
              </w:rPr>
            </w:r>
            <w:r>
              <w:rPr>
                <w:b/>
                <w:i w:val="0"/>
                <w:sz w:val="18"/>
              </w:rPr>
              <w:t>Hyperkalemia</w:t>
            </w:r>
            <w:r>
              <w:rPr>
                <w:b w:val="0"/>
                <w:i w:val="0"/>
                <w:sz w:val="18"/>
              </w:rPr>
              <w:t>; glucose intolerance; megaloblastic anemia (triamterene); azotemia (amiloride)</w:t>
            </w:r>
          </w:p>
        </w:tc>
        <w:tc>
          <w:tcPr>
            <w:tcW w:type="dxa" w:w="1454"/>
          </w:tcPr>
          <w:p>
            <w:pPr>
              <w:spacing w:after="40"/>
            </w:pPr>
            <w:r>
              <w:rPr>
                <w:sz w:val="18"/>
              </w:rPr>
            </w:r>
            <w:r>
              <w:rPr>
                <w:b w:val="0"/>
                <w:i w:val="0"/>
                <w:sz w:val="18"/>
              </w:rPr>
              <w:t>Caution with angiotensin-converting enzyme inhibitors, angiotensin receptor blockers and potassium supplements. (Added background: potassium chloride salt substitutes add potassium; both agents carry a boxed warning for hyperkalemia.)</w:t>
            </w:r>
          </w:p>
        </w:tc>
        <w:tc>
          <w:tcPr>
            <w:tcW w:type="dxa" w:w="1454"/>
          </w:tcPr>
          <w:p>
            <w:pPr>
              <w:spacing w:after="40"/>
            </w:pPr>
            <w:r>
              <w:rPr>
                <w:sz w:val="18"/>
              </w:rPr>
            </w:r>
            <w:r>
              <w:rPr>
                <w:b w:val="0"/>
                <w:i w:val="0"/>
                <w:sz w:val="18"/>
              </w:rPr>
              <w:t>L9</w:t>
            </w:r>
            <w:r>
              <w:rPr>
                <w:sz w:val="18"/>
              </w:rPr>
              <w:br/>
            </w:r>
            <w:r>
              <w:rPr>
                <w:b w:val="0"/>
                <w:i w:val="0"/>
                <w:sz w:val="18"/>
              </w:rPr>
              <w:t>slide 30</w:t>
            </w:r>
            <w:r>
              <w:rPr>
                <w:sz w:val="18"/>
              </w:rPr>
              <w:br/>
            </w:r>
            <w:r>
              <w:rPr>
                <w:b w:val="0"/>
                <w:i w:val="0"/>
                <w:sz w:val="18"/>
              </w:rPr>
              <w:t>slide 11</w:t>
            </w:r>
            <w:r>
              <w:rPr>
                <w:sz w:val="18"/>
              </w:rPr>
              <w:br/>
            </w:r>
            <w:r>
              <w:rPr>
                <w:b w:val="0"/>
                <w:i w:val="0"/>
                <w:sz w:val="18"/>
              </w:rPr>
              <w:t>slide 31</w:t>
            </w:r>
            <w:r>
              <w:rPr>
                <w:sz w:val="18"/>
              </w:rPr>
              <w:br/>
            </w:r>
            <w:r>
              <w:rPr>
                <w:b w:val="0"/>
                <w:i w:val="0"/>
                <w:sz w:val="18"/>
              </w:rPr>
              <w:t>slide 32</w:t>
            </w:r>
            <w:r>
              <w:rPr>
                <w:sz w:val="18"/>
              </w:rPr>
              <w:br/>
            </w:r>
            <w:r>
              <w:rPr>
                <w:b w:val="0"/>
                <w:i w:val="0"/>
                <w:sz w:val="18"/>
              </w:rPr>
              <w:t>slide 33</w:t>
            </w:r>
          </w:p>
        </w:tc>
      </w:tr>
      <w:tr>
        <w:tc>
          <w:tcPr>
            <w:tcW w:type="dxa" w:w="1454"/>
          </w:tcPr>
          <w:p>
            <w:pPr>
              <w:spacing w:after="40"/>
            </w:pPr>
            <w:r>
              <w:rPr>
                <w:sz w:val="18"/>
              </w:rPr>
            </w:r>
            <w:r>
              <w:rPr>
                <w:b/>
                <w:i w:val="0"/>
                <w:sz w:val="18"/>
              </w:rPr>
              <w:t>Aldosterone antagonists</w:t>
            </w:r>
            <w:r>
              <w:rPr>
                <w:sz w:val="18"/>
              </w:rPr>
              <w:br/>
            </w:r>
            <w:r>
              <w:rPr>
                <w:b w:val="0"/>
                <w:i w:val="0"/>
                <w:sz w:val="18"/>
              </w:rPr>
              <w:t>spironolactone, eplerenone</w:t>
            </w:r>
          </w:p>
        </w:tc>
        <w:tc>
          <w:tcPr>
            <w:tcW w:type="dxa" w:w="1454"/>
          </w:tcPr>
          <w:p>
            <w:pPr>
              <w:spacing w:after="40"/>
            </w:pPr>
            <w:r>
              <w:rPr>
                <w:sz w:val="18"/>
              </w:rPr>
            </w:r>
            <w:r>
              <w:rPr>
                <w:b w:val="0"/>
                <w:i w:val="0"/>
                <w:sz w:val="18"/>
              </w:rPr>
              <w:t>Collecting duct (and distal tubule): the aldosterone receptor</w:t>
            </w:r>
          </w:p>
        </w:tc>
        <w:tc>
          <w:tcPr>
            <w:tcW w:type="dxa" w:w="1454"/>
          </w:tcPr>
          <w:p>
            <w:pPr>
              <w:spacing w:after="40"/>
            </w:pPr>
            <w:r>
              <w:rPr>
                <w:sz w:val="18"/>
              </w:rPr>
            </w:r>
            <w:r>
              <w:rPr>
                <w:b w:val="0"/>
                <w:i w:val="0"/>
                <w:sz w:val="18"/>
              </w:rPr>
              <w:t xml:space="preserve">Bind the steroid receptor but </w:t>
            </w:r>
            <w:r>
              <w:rPr>
                <w:b/>
                <w:i w:val="0"/>
                <w:sz w:val="18"/>
              </w:rPr>
              <w:t>do not translocate to the nucleus</w:t>
            </w:r>
            <w:r>
              <w:rPr>
                <w:b w:val="0"/>
                <w:i w:val="0"/>
                <w:sz w:val="18"/>
              </w:rPr>
              <w:t>, so no new sodium channels or pumps are made; most effective when aldosterone is high; 30 to 60 minute lag before effect</w:t>
            </w:r>
          </w:p>
        </w:tc>
        <w:tc>
          <w:tcPr>
            <w:tcW w:type="dxa" w:w="1454"/>
          </w:tcPr>
          <w:p>
            <w:pPr>
              <w:spacing w:after="40"/>
            </w:pPr>
            <w:r>
              <w:rPr>
                <w:sz w:val="18"/>
              </w:rPr>
            </w:r>
            <w:r>
              <w:rPr>
                <w:b w:val="0"/>
                <w:i w:val="0"/>
                <w:sz w:val="18"/>
              </w:rPr>
              <w:t>Block 2 to 3 percent of sodium chloride reabsorption; modest urine production</w:t>
            </w:r>
          </w:p>
        </w:tc>
        <w:tc>
          <w:tcPr>
            <w:tcW w:type="dxa" w:w="1454"/>
          </w:tcPr>
          <w:p>
            <w:pPr>
              <w:spacing w:after="40"/>
            </w:pPr>
            <w:r>
              <w:rPr>
                <w:sz w:val="18"/>
              </w:rPr>
            </w:r>
            <w:r>
              <w:rPr>
                <w:b w:val="0"/>
                <w:i w:val="0"/>
                <w:sz w:val="18"/>
              </w:rPr>
              <w:t>Hold back potassium (less potassium loss, hyperkalemia)</w:t>
            </w:r>
          </w:p>
        </w:tc>
        <w:tc>
          <w:tcPr>
            <w:tcW w:type="dxa" w:w="1454"/>
          </w:tcPr>
          <w:p>
            <w:pPr>
              <w:spacing w:after="40"/>
            </w:pPr>
            <w:r>
              <w:rPr>
                <w:sz w:val="18"/>
              </w:rPr>
            </w:r>
            <w:r>
              <w:rPr>
                <w:b w:val="0"/>
                <w:i w:val="0"/>
                <w:sz w:val="18"/>
              </w:rPr>
              <w:t>Modest effect on lipid, glucose and uric acid levels; mild acidosis</w:t>
            </w:r>
          </w:p>
        </w:tc>
        <w:tc>
          <w:tcPr>
            <w:tcW w:type="dxa" w:w="1454"/>
          </w:tcPr>
          <w:p>
            <w:pPr>
              <w:spacing w:after="40"/>
            </w:pPr>
            <w:r>
              <w:rPr>
                <w:sz w:val="18"/>
              </w:rPr>
            </w:r>
            <w:r>
              <w:rPr>
                <w:b w:val="0"/>
                <w:i w:val="0"/>
                <w:sz w:val="18"/>
              </w:rPr>
              <w:t>Primary aldosteronism, hypertension, heart failure (reduces mortality in advanced heart failure), edema, cirrhosis (secondary hyperaldosteronism), nephrotic syndrome</w:t>
            </w:r>
          </w:p>
        </w:tc>
        <w:tc>
          <w:tcPr>
            <w:tcW w:type="dxa" w:w="1454"/>
          </w:tcPr>
          <w:p>
            <w:pPr>
              <w:spacing w:after="40"/>
            </w:pPr>
            <w:r>
              <w:rPr>
                <w:sz w:val="18"/>
              </w:rPr>
            </w:r>
            <w:r>
              <w:rPr>
                <w:b w:val="0"/>
                <w:i w:val="0"/>
                <w:sz w:val="18"/>
              </w:rPr>
              <w:t xml:space="preserve">Hyperkalemia with mild acidosis; nausea, vomiting, gastrointestinal upset; </w:t>
            </w:r>
            <w:r>
              <w:rPr>
                <w:b/>
                <w:i w:val="0"/>
                <w:sz w:val="18"/>
              </w:rPr>
              <w:t>spironolactone:</w:t>
            </w:r>
            <w:r>
              <w:rPr>
                <w:b w:val="0"/>
                <w:i w:val="0"/>
                <w:sz w:val="18"/>
              </w:rPr>
              <w:t xml:space="preserve"> gynecomastia and testicular atrophy in men, menstrual irregularities in women</w:t>
            </w:r>
          </w:p>
        </w:tc>
        <w:tc>
          <w:tcPr>
            <w:tcW w:type="dxa" w:w="1454"/>
          </w:tcPr>
          <w:p>
            <w:pPr>
              <w:spacing w:after="40"/>
            </w:pPr>
            <w:r>
              <w:rPr>
                <w:sz w:val="18"/>
              </w:rPr>
            </w:r>
            <w:r>
              <w:rPr>
                <w:b/>
                <w:i w:val="0"/>
                <w:sz w:val="18"/>
              </w:rPr>
              <w:t>Eplerenone</w:t>
            </w:r>
            <w:r>
              <w:rPr>
                <w:b w:val="0"/>
                <w:i w:val="0"/>
                <w:sz w:val="18"/>
              </w:rPr>
              <w:t xml:space="preserve"> has less effect on androgen receptors: the switch when those effects occur. Heart failure patients are not eligible when potassium is above 5 or creatinine is high.</w:t>
            </w:r>
          </w:p>
        </w:tc>
        <w:tc>
          <w:tcPr>
            <w:tcW w:type="dxa" w:w="1454"/>
          </w:tcPr>
          <w:p>
            <w:pPr>
              <w:spacing w:after="40"/>
            </w:pPr>
            <w:r>
              <w:rPr>
                <w:sz w:val="18"/>
              </w:rPr>
            </w:r>
            <w:r>
              <w:rPr>
                <w:b w:val="0"/>
                <w:i w:val="0"/>
                <w:sz w:val="18"/>
              </w:rPr>
              <w:t>L9</w:t>
            </w:r>
            <w:r>
              <w:rPr>
                <w:sz w:val="18"/>
              </w:rPr>
              <w:br/>
            </w:r>
            <w:r>
              <w:rPr>
                <w:b w:val="0"/>
                <w:i w:val="0"/>
                <w:sz w:val="18"/>
              </w:rPr>
              <w:t>slide 36</w:t>
            </w:r>
            <w:r>
              <w:rPr>
                <w:sz w:val="18"/>
              </w:rPr>
              <w:br/>
            </w:r>
            <w:r>
              <w:rPr>
                <w:b w:val="0"/>
                <w:i w:val="0"/>
                <w:sz w:val="18"/>
              </w:rPr>
              <w:t>slide 34</w:t>
            </w:r>
            <w:r>
              <w:rPr>
                <w:sz w:val="18"/>
              </w:rPr>
              <w:br/>
            </w:r>
            <w:r>
              <w:rPr>
                <w:b w:val="0"/>
                <w:i w:val="0"/>
                <w:sz w:val="18"/>
              </w:rPr>
              <w:t>slide 35</w:t>
            </w:r>
            <w:r>
              <w:rPr>
                <w:sz w:val="18"/>
              </w:rPr>
              <w:br/>
            </w:r>
            <w:r>
              <w:rPr>
                <w:b w:val="0"/>
                <w:i w:val="0"/>
                <w:sz w:val="18"/>
              </w:rPr>
              <w:t>slide 37</w:t>
            </w:r>
            <w:r>
              <w:rPr>
                <w:sz w:val="18"/>
              </w:rPr>
              <w:br/>
            </w:r>
            <w:r>
              <w:rPr>
                <w:b w:val="0"/>
                <w:i w:val="0"/>
                <w:sz w:val="18"/>
              </w:rPr>
              <w:t>slide 38</w:t>
            </w:r>
            <w:r>
              <w:rPr>
                <w:sz w:val="18"/>
              </w:rPr>
              <w:br/>
            </w:r>
            <w:r>
              <w:rPr>
                <w:b w:val="0"/>
                <w:i w:val="0"/>
                <w:sz w:val="18"/>
              </w:rPr>
              <w:t>slide 73</w:t>
            </w:r>
          </w:p>
        </w:tc>
      </w:tr>
      <w:tr>
        <w:tc>
          <w:tcPr>
            <w:tcW w:type="dxa" w:w="1454"/>
          </w:tcPr>
          <w:p>
            <w:pPr>
              <w:spacing w:after="40"/>
            </w:pPr>
            <w:r>
              <w:rPr>
                <w:sz w:val="18"/>
              </w:rPr>
            </w:r>
            <w:r>
              <w:rPr>
                <w:b/>
                <w:i w:val="0"/>
                <w:sz w:val="18"/>
              </w:rPr>
              <w:t>Carbonic anhydrase inhibitors</w:t>
            </w:r>
            <w:r>
              <w:rPr>
                <w:sz w:val="18"/>
              </w:rPr>
              <w:br/>
            </w:r>
            <w:r>
              <w:rPr>
                <w:b w:val="0"/>
                <w:i w:val="0"/>
                <w:sz w:val="18"/>
              </w:rPr>
              <w:t>acetazolamide, dichlorphenamide, methazolamide</w:t>
            </w:r>
          </w:p>
        </w:tc>
        <w:tc>
          <w:tcPr>
            <w:tcW w:type="dxa" w:w="1454"/>
          </w:tcPr>
          <w:p>
            <w:pPr>
              <w:spacing w:after="40"/>
            </w:pPr>
            <w:r>
              <w:rPr>
                <w:sz w:val="18"/>
              </w:rPr>
            </w:r>
            <w:r>
              <w:rPr>
                <w:b w:val="0"/>
                <w:i w:val="0"/>
                <w:sz w:val="18"/>
              </w:rPr>
              <w:t>Proximal tubule (60 to 70 percent of the filtrate is reabsorbed there)</w:t>
            </w:r>
          </w:p>
        </w:tc>
        <w:tc>
          <w:tcPr>
            <w:tcW w:type="dxa" w:w="1454"/>
          </w:tcPr>
          <w:p>
            <w:pPr>
              <w:spacing w:after="40"/>
            </w:pPr>
            <w:r>
              <w:rPr>
                <w:sz w:val="18"/>
              </w:rPr>
            </w:r>
            <w:r>
              <w:rPr>
                <w:b w:val="0"/>
                <w:i w:val="0"/>
                <w:sz w:val="18"/>
              </w:rPr>
              <w:t>Inhibit carbonic anhydrase: bicarbonate absorption falls by 80 to 90 percent, so less hydrogen ion is made and less sodium-hydrogen exchange occurs</w:t>
            </w:r>
          </w:p>
        </w:tc>
        <w:tc>
          <w:tcPr>
            <w:tcW w:type="dxa" w:w="1454"/>
          </w:tcPr>
          <w:p>
            <w:pPr>
              <w:spacing w:after="40"/>
            </w:pPr>
            <w:r>
              <w:rPr>
                <w:sz w:val="18"/>
              </w:rPr>
            </w:r>
            <w:r>
              <w:rPr>
                <w:b w:val="0"/>
                <w:i w:val="0"/>
                <w:sz w:val="18"/>
              </w:rPr>
              <w:t xml:space="preserve">Short term, sodium and potassium excretion rise about 5 percent; the effect </w:t>
            </w:r>
            <w:r>
              <w:rPr>
                <w:b/>
                <w:i w:val="0"/>
                <w:sz w:val="18"/>
              </w:rPr>
              <w:t>falls to 1 to 3 percent after 3 to 5 days</w:t>
            </w:r>
            <w:r>
              <w:rPr>
                <w:b w:val="0"/>
                <w:i w:val="0"/>
                <w:sz w:val="18"/>
              </w:rPr>
              <w:t xml:space="preserve"> (a weak, self-limited diuretic)</w:t>
            </w:r>
          </w:p>
        </w:tc>
        <w:tc>
          <w:tcPr>
            <w:tcW w:type="dxa" w:w="1454"/>
          </w:tcPr>
          <w:p>
            <w:pPr>
              <w:spacing w:after="40"/>
            </w:pPr>
            <w:r>
              <w:rPr>
                <w:sz w:val="18"/>
              </w:rPr>
            </w:r>
            <w:r>
              <w:rPr>
                <w:b w:val="0"/>
                <w:i w:val="0"/>
                <w:sz w:val="18"/>
              </w:rPr>
              <w:t>Potassium depletion</w:t>
            </w:r>
          </w:p>
        </w:tc>
        <w:tc>
          <w:tcPr>
            <w:tcW w:type="dxa" w:w="1454"/>
          </w:tcPr>
          <w:p>
            <w:pPr>
              <w:spacing w:after="40"/>
            </w:pPr>
            <w:r>
              <w:rPr>
                <w:sz w:val="18"/>
              </w:rPr>
            </w:r>
            <w:r>
              <w:rPr>
                <w:b/>
                <w:i w:val="0"/>
                <w:sz w:val="18"/>
              </w:rPr>
              <w:t>Metabolic acidosis</w:t>
            </w:r>
            <w:r>
              <w:rPr>
                <w:b w:val="0"/>
                <w:i w:val="0"/>
                <w:sz w:val="18"/>
              </w:rPr>
              <w:t xml:space="preserve"> (bicarbonate lost in the urine)</w:t>
            </w:r>
          </w:p>
        </w:tc>
        <w:tc>
          <w:tcPr>
            <w:tcW w:type="dxa" w:w="1454"/>
          </w:tcPr>
          <w:p>
            <w:pPr>
              <w:spacing w:after="40"/>
            </w:pPr>
            <w:r>
              <w:rPr>
                <w:sz w:val="18"/>
              </w:rPr>
            </w:r>
            <w:r>
              <w:rPr>
                <w:b w:val="0"/>
                <w:i w:val="0"/>
                <w:sz w:val="18"/>
              </w:rPr>
              <w:t>Glaucoma (dorzolamide and brinzolamide in the eye), epilepsy, mountain sickness</w:t>
            </w:r>
          </w:p>
        </w:tc>
        <w:tc>
          <w:tcPr>
            <w:tcW w:type="dxa" w:w="1454"/>
          </w:tcPr>
          <w:p>
            <w:pPr>
              <w:spacing w:after="40"/>
            </w:pPr>
            <w:r>
              <w:rPr>
                <w:sz w:val="18"/>
              </w:rPr>
            </w:r>
            <w:r>
              <w:rPr>
                <w:b w:val="0"/>
                <w:i w:val="0"/>
                <w:sz w:val="18"/>
              </w:rPr>
              <w:t>Metabolic acidosis, potassium depletion, drowsiness</w:t>
            </w:r>
          </w:p>
        </w:tc>
        <w:tc>
          <w:tcPr>
            <w:tcW w:type="dxa" w:w="1454"/>
          </w:tcPr>
          <w:p>
            <w:pPr>
              <w:spacing w:after="40"/>
            </w:pPr>
            <w:r>
              <w:rPr>
                <w:sz w:val="18"/>
              </w:rPr>
            </w:r>
            <w:r>
              <w:rPr>
                <w:b w:val="0"/>
                <w:i w:val="0"/>
                <w:sz w:val="18"/>
              </w:rPr>
              <w:t>Unlike every other diuretic class, these acidify the blood rather than causing a contraction alkalosis. The weakest diuretics, used for their other effects.</w:t>
            </w:r>
          </w:p>
        </w:tc>
        <w:tc>
          <w:tcPr>
            <w:tcW w:type="dxa" w:w="1454"/>
          </w:tcPr>
          <w:p>
            <w:pPr>
              <w:spacing w:after="40"/>
            </w:pPr>
            <w:r>
              <w:rPr>
                <w:sz w:val="18"/>
              </w:rPr>
            </w:r>
            <w:r>
              <w:rPr>
                <w:b w:val="0"/>
                <w:i w:val="0"/>
                <w:sz w:val="18"/>
              </w:rPr>
              <w:t>L9</w:t>
            </w:r>
            <w:r>
              <w:rPr>
                <w:sz w:val="18"/>
              </w:rPr>
              <w:br/>
            </w:r>
            <w:r>
              <w:rPr>
                <w:b w:val="0"/>
                <w:i w:val="0"/>
                <w:sz w:val="18"/>
              </w:rPr>
              <w:t>slide 39</w:t>
            </w:r>
            <w:r>
              <w:rPr>
                <w:sz w:val="18"/>
              </w:rPr>
              <w:br/>
            </w:r>
            <w:r>
              <w:rPr>
                <w:b w:val="0"/>
                <w:i w:val="0"/>
                <w:sz w:val="18"/>
              </w:rPr>
              <w:t>slide 8</w:t>
            </w:r>
            <w:r>
              <w:rPr>
                <w:sz w:val="18"/>
              </w:rPr>
              <w:br/>
            </w:r>
            <w:r>
              <w:rPr>
                <w:b w:val="0"/>
                <w:i w:val="0"/>
                <w:sz w:val="18"/>
              </w:rPr>
              <w:t>slide 40</w:t>
            </w:r>
            <w:r>
              <w:rPr>
                <w:sz w:val="18"/>
              </w:rPr>
              <w:br/>
            </w:r>
            <w:r>
              <w:rPr>
                <w:b w:val="0"/>
                <w:i w:val="0"/>
                <w:sz w:val="18"/>
              </w:rPr>
              <w:t>slide 42</w:t>
            </w:r>
            <w:r>
              <w:rPr>
                <w:sz w:val="18"/>
              </w:rPr>
              <w:br/>
            </w:r>
            <w:r>
              <w:rPr>
                <w:b w:val="0"/>
                <w:i w:val="0"/>
                <w:sz w:val="18"/>
              </w:rPr>
              <w:t>slide 43</w:t>
            </w:r>
          </w:p>
        </w:tc>
      </w:tr>
    </w:tbl>
    <w:p>
      <w:pPr>
        <w:spacing w:after="80"/>
      </w:pPr>
    </w:p>
    <w:p>
      <w:pPr>
        <w:spacing w:after="120"/>
      </w:pPr>
      <w:r>
        <w:rPr>
          <w:b w:val="0"/>
          <w:i w:val="0"/>
        </w:rPr>
        <w:t xml:space="preserve"> Every row is checked against the slide it cites by </w:t>
      </w:r>
      <w:r>
        <w:rPr>
          <w:rFonts w:ascii="Consolas" w:hAnsi="Consolas"/>
          <w:b w:val="0"/>
          <w:i w:val="0"/>
          <w:sz w:val="18"/>
        </w:rPr>
        <w:t>tools/check_pharm_e3.py</w:t>
      </w:r>
      <w:r>
        <w:rPr>
          <w:b w:val="0"/>
          <w:i w:val="0"/>
        </w:rPr>
        <w:t xml:space="preserve"> before this page is written.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