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Georgia" w:hAnsi="Georgia"/>
          <w:color w:val="6B3524"/>
        </w:rPr>
        <w:t>Killers, Commons &amp; Zebras</w:t>
      </w:r>
    </w:p>
    <w:p>
      <w:r>
        <w:rPr>
          <w:i/>
          <w:color w:val="666666"/>
          <w:sz w:val="17"/>
        </w:rPr>
        <w:t>Editable Word copy of the PA_Quizzes study aid. Headings use real Word styles, so the navigation pane and the contents field below both work, and restyling one heading restyles them all.</w:t>
      </w:r>
    </w:p>
    <w:p>
      <w:r>
        <w:fldChar w:fldCharType="begin"/>
        <w:instrText xml:space="preserve">TOC \o "1-3" \h \z \u</w:instrText>
        <w:fldChar w:fldCharType="separate"/>
        <w:fldChar w:fldCharType="end"/>
      </w:r>
      <w:r>
        <w:rPr>
          <w:i/>
          <w:color w:val="777777"/>
          <w:sz w:val="17"/>
        </w:rPr>
        <w:t xml:space="preserve">  [In Word: right-click here and choose Update Field to build the contents.]</w:t>
      </w:r>
    </w:p>
    <w:p/>
    <w:p>
      <w:pPr>
        <w:spacing w:after="120"/>
      </w:pPr>
      <w:r>
        <w:rPr>
          <w:b w:val="0"/>
          <w:i w:val="0"/>
        </w:rPr>
        <w:t>Pharmacology I · Exam 3 · Class of 2028</w:t>
      </w:r>
    </w:p>
    <w:p>
      <w:pPr>
        <w:spacing w:after="120"/>
      </w:pPr>
      <w:r>
        <w:rPr>
          <w:b w:val="0"/>
          <w:i w:val="0"/>
        </w:rPr>
        <w:t>The adverse effects of the Exam 3 lectures sorted the way Dr. Wood sorts them. 38 entries.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8" w:space="0" w:color="B9A98B"/>
          <w:left w:val="single" w:sz="8" w:space="0" w:color="B9A98B"/>
          <w:bottom w:val="single" w:sz="8" w:space="0" w:color="B9A98B"/>
          <w:right w:val="single" w:sz="8" w:space="0" w:color="B9A98B"/>
          <w:insideH w:val="single" w:sz="8" w:space="0" w:color="B9A98B"/>
          <w:insideV w:val="single" w:sz="8" w:space="0" w:color="B9A98B"/>
        </w:tblBorders>
      </w:tblPr>
      <w:tblGrid>
        <w:gridCol w:w="10224"/>
      </w:tblGrid>
      <w:tr>
        <w:tc>
          <w:tcPr>
            <w:tcW w:type="dxa" w:w="10224"/>
            <w:shd w:val="clear" w:color="auto" w:fill="F5F2EC"/>
          </w:tcPr>
          <w:p>
            <w:pPr>
              <w:spacing w:after="80"/>
            </w:pPr>
            <w:r>
              <w:rPr>
                <w:b/>
                <w:color w:val="6B5B3E"/>
                <w:sz w:val="18"/>
              </w:rPr>
              <w:t>NOTE</w:t>
            </w:r>
          </w:p>
          <w:p>
            <w:pPr>
              <w:spacing w:after="120"/>
            </w:pPr>
            <w:r>
              <w:rPr>
                <w:b/>
                <w:i w:val="0"/>
              </w:rPr>
              <w:t>Dr. Wood’s three buckets.</w:t>
            </w:r>
            <w:r>
              <w:rPr>
                <w:b w:val="0"/>
                <w:i w:val="0"/>
              </w:rPr>
              <w:t xml:space="preserve"> He sorts adverse effects into </w:t>
            </w:r>
            <w:r>
              <w:rPr>
                <w:b/>
                <w:i w:val="0"/>
              </w:rPr>
              <w:t>killers</w:t>
            </w:r>
            <w:r>
              <w:rPr>
                <w:b w:val="0"/>
                <w:i w:val="0"/>
              </w:rPr>
              <w:t xml:space="preserve">, </w:t>
            </w:r>
            <w:r>
              <w:rPr>
                <w:b/>
                <w:i w:val="0"/>
              </w:rPr>
              <w:t>commons</w:t>
            </w:r>
            <w:r>
              <w:rPr>
                <w:b w:val="0"/>
                <w:i w:val="0"/>
              </w:rPr>
              <w:t xml:space="preserve"> and </w:t>
            </w:r>
            <w:r>
              <w:rPr>
                <w:b/>
                <w:i w:val="0"/>
              </w:rPr>
              <w:t>zebras</w:t>
            </w:r>
            <w:r>
              <w:rPr>
                <w:b w:val="0"/>
                <w:i w:val="0"/>
              </w:rPr>
              <w:t>, and said that any time you see a killer or a zebra, those are the things to look at. The sorting below applies his framework to the slides; each entry cites its slide.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6B3524"/>
        </w:rPr>
        <w:t>Lecture 9 — Diuretics and Heart Failure Drugs</w:t>
      </w:r>
    </w:p>
    <w:p>
      <w:pPr>
        <w:pStyle w:val="Heading1"/>
        <w:spacing w:before="280" w:after="100"/>
      </w:pPr>
      <w:r>
        <w:rPr>
          <w:rFonts w:ascii="Georgia" w:hAnsi="Georgia"/>
          <w:color w:val="6B3524"/>
        </w:rPr>
        <w:t>Killers 12</w:t>
      </w:r>
    </w:p>
    <w:p>
      <w:pPr>
        <w:spacing w:after="120"/>
      </w:pPr>
      <w:r>
        <w:rPr>
          <w:b w:val="0"/>
          <w:i w:val="0"/>
        </w:rPr>
        <w:t xml:space="preserve">Dangerous. </w:t>
      </w:r>
      <w:r>
        <w:rPr>
          <w:b/>
          <w:i w:val="0"/>
        </w:rPr>
        <w:t>Immediate discontinuation and evaluation.</w:t>
      </w:r>
      <w:r>
        <w:rPr>
          <w:b w:val="0"/>
          <w:i w:val="0"/>
        </w:rPr>
        <w:t xml:space="preserve"> Not necessarily common: these are the ones you warn the patient about </w:t>
      </w:r>
      <w:r>
        <w:rPr>
          <w:b w:val="0"/>
          <w:i/>
        </w:rPr>
        <w:t>in advance</w:t>
      </w:r>
      <w:r>
        <w:rPr>
          <w:b w:val="0"/>
          <w:i w:val="0"/>
        </w:rPr>
        <w:t>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2556"/>
        <w:gridCol w:w="2556"/>
        <w:gridCol w:w="2556"/>
        <w:gridCol w:w="2556"/>
      </w:tblGrid>
      <w:tr>
        <w:tc>
          <w:tcPr>
            <w:tcW w:type="dxa" w:w="2556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Effect</w:t>
            </w:r>
          </w:p>
        </w:tc>
        <w:tc>
          <w:tcPr>
            <w:tcW w:type="dxa" w:w="2556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Drug or class</w:t>
            </w:r>
          </w:p>
        </w:tc>
        <w:tc>
          <w:tcPr>
            <w:tcW w:type="dxa" w:w="2556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What it means / what to do</w:t>
            </w:r>
          </w:p>
        </w:tc>
        <w:tc>
          <w:tcPr>
            <w:tcW w:type="dxa" w:w="2556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Source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Hyperkalemia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Potassium-sparing diuretics (amiloride, triamterene)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The defining danger of the class.</w:t>
            </w:r>
            <w:r>
              <w:rPr>
                <w:b w:val="0"/>
                <w:i w:val="0"/>
                <w:sz w:val="18"/>
              </w:rPr>
              <w:t xml:space="preserve"> Caution when combined with angiotensin-converting enzyme inhibitors, angiotensin receptor blockers or potassium supplements. (Added background: both agents carry a Food and Drug Administration (FDA) boxed warning for hyperkalemia; salt substitutes are usually potassium chloride.)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33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Hyperkalemia with mild acidosis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Aldosterone antagonists (spironolactone, eplerenone)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Holding on to potassium is the point of the drug and also its danger. Heart failure patients are not eligible when potassium is high or creatinine is high; kidney dysfunction makes it more likely.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38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Hypokalemia with cardiac arrhythmias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Loop diuretics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Loops increase potassium excretion. </w:t>
            </w:r>
            <w:r>
              <w:rPr>
                <w:b/>
                <w:i w:val="0"/>
                <w:sz w:val="18"/>
              </w:rPr>
              <w:t>Know every drug's effect on potassium:</w:t>
            </w:r>
            <w:r>
              <w:rPr>
                <w:b w:val="0"/>
                <w:i w:val="0"/>
                <w:sz w:val="18"/>
              </w:rPr>
              <w:t xml:space="preserve"> low potassium is what makes arrhythmias, and digoxin toxicity, more likely.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18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Hypokalemia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Thiazide diuretics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Thiazides increase potassium and magnesium excretion. With digoxin, keep potassium above 4.0 milliequivalents per liter.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26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Profound volume depletion, circulatory collapse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Loop diuretics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Too much sodium loss means volume depletion and cardiovascular collapse; the loop is the most potent class, so it carries the most risk. (Added background: furosemide, bumetanide and ethacrynic acid carry an FDA boxed warning for profound diuresis with water and electrolyte depletion.)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18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Hyponatremia with seizures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Loop diuretics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Sodium loss severe enough to cause seizures is a listed adverse effect.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18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Digoxin toxicity: any arrhythmia, most often bradycardia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Digoxin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Toxicity slows nodal conduction (longer PR interval, shorter QT interval, depressed ST segment) and can cause </w:t>
            </w:r>
            <w:r>
              <w:rPr>
                <w:b/>
                <w:i w:val="0"/>
                <w:sz w:val="18"/>
              </w:rPr>
              <w:t>digoxin-induced after-depolarizations</w:t>
            </w:r>
            <w:r>
              <w:rPr>
                <w:b w:val="0"/>
                <w:i w:val="0"/>
                <w:sz w:val="18"/>
              </w:rPr>
              <w:t>, so ventricular arrhythmias occur. A level is checked when toxicity is suspected.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70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Digoxin toxicity made likelier by electrolyte disturbance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Digoxin with loop diuretics, thiazides (low potassium, low magnesium) and with high calcium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Low potassium, low magnesium and high calcium raise the risk. Loops and thiazides lower potassium and magnesium, so a patient on both is at risk. (Added background: it is </w:t>
            </w:r>
            <w:r>
              <w:rPr>
                <w:b w:val="0"/>
                <w:i/>
                <w:sz w:val="18"/>
              </w:rPr>
              <w:t>low</w:t>
            </w:r>
            <w:r>
              <w:rPr>
                <w:b w:val="0"/>
                <w:i w:val="0"/>
                <w:sz w:val="18"/>
              </w:rPr>
              <w:t xml:space="preserve"> potassium that raises digoxin toxicity risk; high potassium is not a risk factor for toxicity.)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71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Ventricular arrhythmias, thrombocytopenia, higher long-term mortality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Milrinone, inamrinone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Approved for short-term intravenous use only; long-term use is associated with higher mortality and morbidity than placebo. Thrombocytopenia is less with milrinone.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76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Worsening heart failure on starting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Beta blockers in heart failure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Classically considered contraindicated in heart failure. The patient must be stable first, start with very low doses, titrate up slowly and be watched for worsening signs. (Added background: never stop abruptly.)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57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Overlapping adverse effects, and fetal toxicity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Sacubitril-valsartan with an angiotensin-converting enzyme inhibitor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Never combine</w:t>
            </w:r>
            <w:r>
              <w:rPr>
                <w:b w:val="0"/>
                <w:i w:val="0"/>
                <w:sz w:val="18"/>
              </w:rPr>
              <w:t>; allow a 36 hour washout when switching. The overlap brings hypotension, hyperkalemia, cough and renal insufficiency. (Added background: valsartan gives the product an FDA boxed warning for fetal toxicity; a history of angioedema also bars it.)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81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Unmasked heart failure or atrial fibrillation after reversal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Digoxin immune Fab (antidote)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Binds digoxin rapidly and reverses toxicity; the condition digoxin was treating can return, so watch rhythm and fluid status.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72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6B3524"/>
        </w:rPr>
        <w:t>Commons 15</w:t>
      </w:r>
    </w:p>
    <w:p>
      <w:pPr>
        <w:spacing w:after="120"/>
      </w:pPr>
      <w:r>
        <w:rPr>
          <w:b w:val="0"/>
          <w:i w:val="0"/>
        </w:rPr>
        <w:t xml:space="preserve">What actually happens, often. </w:t>
      </w:r>
      <w:r>
        <w:rPr>
          <w:b/>
          <w:i w:val="0"/>
        </w:rPr>
        <w:t>These belong to the class, not the drug</w:t>
      </w:r>
      <w:r>
        <w:rPr>
          <w:b w:val="0"/>
          <w:i w:val="0"/>
        </w:rPr>
        <w:t>, so they are listed by class.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2556"/>
        <w:gridCol w:w="2556"/>
        <w:gridCol w:w="2556"/>
        <w:gridCol w:w="2556"/>
      </w:tblGrid>
      <w:tr>
        <w:tc>
          <w:tcPr>
            <w:tcW w:type="dxa" w:w="2556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Effect</w:t>
            </w:r>
          </w:p>
        </w:tc>
        <w:tc>
          <w:tcPr>
            <w:tcW w:type="dxa" w:w="2556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Drug or class</w:t>
            </w:r>
          </w:p>
        </w:tc>
        <w:tc>
          <w:tcPr>
            <w:tcW w:type="dxa" w:w="2556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What it means / what to do</w:t>
            </w:r>
          </w:p>
        </w:tc>
        <w:tc>
          <w:tcPr>
            <w:tcW w:type="dxa" w:w="2556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Source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Hypokalemia, hypocalcemia, hypomagnesemia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Loop diuretics (class effect)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Loops raise urinary potassium, calcium and magnesium losses; check these electrolytes.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13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Hypokalemia, magnesium loss, and </w:t>
            </w:r>
            <w:r>
              <w:rPr>
                <w:b w:val="0"/>
                <w:i/>
                <w:sz w:val="18"/>
              </w:rPr>
              <w:t>reduced</w:t>
            </w:r>
            <w:r>
              <w:rPr>
                <w:b w:val="0"/>
                <w:i w:val="0"/>
                <w:sz w:val="18"/>
              </w:rPr>
              <w:t xml:space="preserve"> calcium excretion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Thiazide diuretics (class effect)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Thiazides lose potassium and magnesium but </w:t>
            </w:r>
            <w:r>
              <w:rPr>
                <w:b/>
                <w:i w:val="0"/>
                <w:sz w:val="18"/>
              </w:rPr>
              <w:t>hold on to calcium</w:t>
            </w:r>
            <w:r>
              <w:rPr>
                <w:b w:val="0"/>
                <w:i w:val="0"/>
                <w:sz w:val="18"/>
              </w:rPr>
              <w:t>, the opposite of the loops.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22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Hyperglycemia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Loop diuretics, thiazide diuretics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Impaired insulin release (low potassium, catecholamine release, insulin resistance); watch blood sugar in diabetes.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18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Hyperuricemia and gout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Loop diuretics, thiazide diuretics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Volume contraction concentrates uric acid and less is excreted; a gout history is a caution.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18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Contraction (metabolic) alkalosis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Loop diuretics, thiazide diuretics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Volume depletion with enhanced hydrogen ion secretion raises the pH. </w:t>
            </w:r>
            <w:r>
              <w:rPr>
                <w:b/>
                <w:i w:val="0"/>
                <w:sz w:val="18"/>
              </w:rPr>
              <w:t>Carbonic anhydrase inhibitors do the opposite</w:t>
            </w:r>
            <w:r>
              <w:rPr>
                <w:b w:val="0"/>
                <w:i w:val="0"/>
                <w:sz w:val="18"/>
              </w:rPr>
              <w:t xml:space="preserve"> (acidosis).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18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Volume depletion with reflex activation of the renin-angiotensin system, aldosterone and antidiuretic hormone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Loop diuretics, thiazide diuretics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The kidney fights the diuretic (the braking effect), which is why diuretics combine well with agents that block these systems.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15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Azotemia (rise in blood urea nitrogen)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Loop diuretics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Volume contraction raises blood urea nitrogen; kidney function is monitored.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18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Mild hypercalcemia (with fewer calcium stones), hyperlipidemia, rash, photosensitivity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Thiazide diuretics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 small rise in serum calcium while urinary calcium falls, so calcium stones are less likely; low-density lipoprotein (LDL) cholesterol rises modestly.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27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Dizziness, headache, weakness, restlessness, sexual dysfunction, constipation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Thiazide diuretics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Common and mild; counsel the patient.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27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Nausea, vomiting, gastrointestinal upset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Aldosterone antagonists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Listed with hyperkalemia as the common adverse effects of the class.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38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Metabolic acidosis, potassium depletion, drowsiness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Carbonic anhydrase inhibitors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Bicarbonate is lost, so the blood becomes acidic (unlike other diuretics); the drug also causes potassium loss and drowsiness.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43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Cough, hypotension, impaired renal function, high potassium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Angiotensin-converting enzyme inhibitors in heart failure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The common problems; angioedema is the rare one. Check renal function and potassium.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56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Anorexia, nausea; fatigue, confusion, dizziness, abnormal dreams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Digoxin toxicity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The early gastrointestinal and central signs that a level is too high.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68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Hypotension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Sodium-glucose cotransporter 2 inhibitors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Volume is lost with the glucose; blood pressure can fall.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82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Hypotension, hyperkalemia, cough, renal insufficiency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Sacubitril-valsartan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The most common adverse effects of the combination.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81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6B3524"/>
        </w:rPr>
        <w:t>Zebras 11</w:t>
      </w:r>
    </w:p>
    <w:p>
      <w:pPr>
        <w:spacing w:after="120"/>
      </w:pPr>
      <w:r>
        <w:rPr>
          <w:b w:val="0"/>
          <w:i w:val="0"/>
        </w:rPr>
        <w:t xml:space="preserve">Uncommon, but </w:t>
      </w:r>
      <w:r>
        <w:rPr>
          <w:b/>
          <w:i w:val="0"/>
        </w:rPr>
        <w:t>unique to one drug</w:t>
      </w:r>
      <w:r>
        <w:rPr>
          <w:b w:val="0"/>
          <w:i w:val="0"/>
        </w:rPr>
        <w:t>. Each is worth about one question, and with the killers they are where to look.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2556"/>
        <w:gridCol w:w="2556"/>
        <w:gridCol w:w="2556"/>
        <w:gridCol w:w="2556"/>
      </w:tblGrid>
      <w:tr>
        <w:tc>
          <w:tcPr>
            <w:tcW w:type="dxa" w:w="2556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Effect</w:t>
            </w:r>
          </w:p>
        </w:tc>
        <w:tc>
          <w:tcPr>
            <w:tcW w:type="dxa" w:w="2556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Drug or class</w:t>
            </w:r>
          </w:p>
        </w:tc>
        <w:tc>
          <w:tcPr>
            <w:tcW w:type="dxa" w:w="2556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What it means / what to do</w:t>
            </w:r>
          </w:p>
        </w:tc>
        <w:tc>
          <w:tcPr>
            <w:tcW w:type="dxa" w:w="2556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Source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Gynecomastia and testicular atrophy in men; menstrual irregularities and hirsutism in women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Spironolactone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Acts at androgen (testosterone) receptors; the course calls it a weak partial agonist, but in current pharmacology it blocks them. Eplerenone has less effect on androgen receptors, so it is the switch when these occur. </w:t>
            </w:r>
            <w:r>
              <w:rPr>
                <w:b w:val="0"/>
                <w:i/>
                <w:sz w:val="18"/>
              </w:rPr>
              <w:t>Hirsutism is listed on the source but is not a typical effect; spironolactone treats it.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38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Megaloblastic anemia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Triamterene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Unique to triamterene among the potassium-sparing diuretics.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33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Azotemia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Amiloride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Specific to amiloride among the potassium-sparing diuretics.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33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Xanthopsia: yellow-green halos, blurred vision, photophobia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Digoxin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Visual disturbance is the classic clue of too much digoxin;</w:t>
            </w:r>
            <w:r>
              <w:rPr>
                <w:b w:val="0"/>
                <w:i w:val="0"/>
                <w:sz w:val="18"/>
              </w:rPr>
              <w:t xml:space="preserve"> check a level.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68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Ototoxicity (hair cell damage in the cochlea)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Loop diuretics (greater with aminoglycosides)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Hearing damage; an aminoglycoside given together potentiates it.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18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Lithium retention and toxicity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Loop diuretics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Lithium clearance falls, so lithium toxicity can follow.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19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Phosphenes (visual impairment from retinal photoreceptor effects), atrial fibrillation, symptomatic bradycardia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Ivabradine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Transient brightness in a limited area of the visual field, halos and multiple images; it often resolves on its own. Contraindications resemble those of beta blockers.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80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Fungal urinary tract infections (and genital yeast infections)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Sodium-glucose cotransporter 2 inhibitors (dapagliflozin, empagliflozin)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Glucose is lost in the urine, which fungi use. (Added background: genital yeast infections are the more typical form.)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82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Metabolic acidosis (a diuretic that acidifies)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Carbonic anhydrase inhibitors (acetazolamide)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Unique among diuretics: bicarbonate loss acidifies the blood; this is also the reason for its use in epilepsy and mountain sickness.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43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Thrombocytopenia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Inamrinone (milrinone causes less)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Platelet count is followed with these agents.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76</w:t>
            </w:r>
          </w:p>
        </w:tc>
      </w:tr>
      <w:tr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Angioedema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Angiotensin-converting enzyme inhibitors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Rare but serious swelling of the lips and airway; stop the drug.</w:t>
            </w:r>
          </w:p>
        </w:tc>
        <w:tc>
          <w:tcPr>
            <w:tcW w:type="dxa" w:w="255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56</w:t>
            </w:r>
          </w:p>
        </w:tc>
      </w:tr>
    </w:tbl>
    <w:p>
      <w:pPr>
        <w:spacing w:after="80"/>
      </w:pPr>
    </w:p>
    <w:p>
      <w:pPr>
        <w:spacing w:after="120"/>
      </w:pPr>
      <w:r>
        <w:rPr>
          <w:b w:val="0"/>
          <w:i w:val="0"/>
        </w:rPr>
        <w:t xml:space="preserve"> Every entry is checked against the slide it cites by </w:t>
      </w:r>
      <w:r>
        <w:rPr>
          <w:rFonts w:ascii="Consolas" w:hAnsi="Consolas"/>
          <w:b w:val="0"/>
          <w:i w:val="0"/>
          <w:sz w:val="18"/>
        </w:rPr>
        <w:t>tools/check_pharm_e3.py</w:t>
      </w:r>
      <w:r>
        <w:rPr>
          <w:b w:val="0"/>
          <w:i w:val="0"/>
        </w:rPr>
        <w:t xml:space="preserve"> before this page is written. </w:t>
      </w:r>
    </w:p>
    <w:sectPr w:rsidR="00FC693F" w:rsidRPr="0006063C" w:rsidSect="00034616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