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17494B"/>
        </w:rPr>
        <w:t>ENT OSCE — Focused Encounter Run-Sheet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PAJ 5310 · Physical Diagnosis II · Fall 2026</w:t>
      </w:r>
    </w:p>
    <w:p>
      <w:pPr>
        <w:spacing w:after="120"/>
      </w:pPr>
      <w:r>
        <w:rPr>
          <w:b w:val="0"/>
          <w:i w:val="0"/>
        </w:rPr>
        <w:t>The whole station in order, from the introduction through the one-minute case presentation. Examination maneuvers come from the PD1 Head, Ears, Nose and Throat lab checksheet, reduced to what a focused ENT encounter grades.</w:t>
      </w:r>
    </w:p>
    <w:p>
      <w:pPr>
        <w:spacing w:after="120"/>
      </w:pPr>
      <w:r>
        <w:rPr>
          <w:b w:val="0"/>
          <w:i w:val="0"/>
        </w:rPr>
        <w:t xml:space="preserve">Once you have a diagnosis in mind, the </w:t>
      </w:r>
      <w:r>
        <w:rPr>
          <w:b w:val="0"/>
          <w:i w:val="0"/>
        </w:rPr>
        <w:t>ENT OSCE Disease Chart</w:t>
      </w:r>
      <w:r>
        <w:rPr>
          <w:b w:val="0"/>
          <w:i w:val="0"/>
        </w:rPr>
        <w:t xml:space="preserve"> carries all 127 conditions — what the patient says, what you see, the exams that rule it in or out, the top three differentials, the tests </w:t>
      </w:r>
      <w:r>
        <w:rPr>
          <w:b w:val="0"/>
          <w:i/>
        </w:rPr>
        <w:t>and what a positive looks like</w:t>
      </w:r>
      <w:r>
        <w:rPr>
          <w:b w:val="0"/>
          <w:i w:val="0"/>
        </w:rPr>
        <w:t>, treatment and patient education.</w:t>
      </w:r>
    </w:p>
    <w:p>
      <w:pPr>
        <w:spacing w:after="120"/>
      </w:pPr>
      <w:r>
        <w:rPr>
          <w:b w:val="0"/>
          <w:i w:val="0"/>
        </w:rPr>
        <w:t xml:space="preserve"> Must be said out loud</w:t>
      </w:r>
      <w:r>
        <w:br/>
      </w:r>
      <w:r>
        <w:rPr>
          <w:b w:val="0"/>
          <w:i w:val="0"/>
        </w:rPr>
        <w:t xml:space="preserve"> Performed — inspect / palpate / percuss / auscultate</w:t>
      </w:r>
    </w:p>
    <w:p>
      <w:pPr>
        <w:spacing w:after="120"/>
      </w:pPr>
      <w:r>
        <w:rPr>
          <w:b/>
          <w:i w:val="0"/>
        </w:rPr>
        <w:t>Station —</w:t>
      </w:r>
      <w:r>
        <w:rPr>
          <w:b w:val="0"/>
          <w:i w:val="0"/>
        </w:rPr>
        <w:t xml:space="preserve"> Tuesday 16 September 2026, 20–25 minutes. The chief complaint and vital signs are given on a separate form. You may bring </w:t>
      </w:r>
      <w:r>
        <w:rPr>
          <w:b/>
          <w:i w:val="0"/>
        </w:rPr>
        <w:t>diagnostic equipment and a pen</w:t>
      </w:r>
      <w:r>
        <w:rPr>
          <w:b w:val="0"/>
          <w:i w:val="0"/>
        </w:rPr>
        <w:t xml:space="preserve">, nothing else. The “patient” gives no verbal responses except identifying data — the facilitator answers for them, and you should </w:t>
      </w:r>
      <w:r>
        <w:rPr>
          <w:b/>
          <w:i w:val="0"/>
        </w:rPr>
        <w:t>always be looking at and interacting with the patient, not the facilitator</w:t>
      </w:r>
      <w:r>
        <w:rPr>
          <w:b w:val="0"/>
          <w:i w:val="0"/>
        </w:rPr>
        <w:t>. Faculty do not answer questions about the exam or technique once testing has started.</w:t>
      </w:r>
    </w:p>
    <w:p>
      <w:pPr>
        <w:pStyle w:val="Heading2"/>
        <w:spacing w:before="200" w:after="100"/>
      </w:pPr>
      <w:r>
        <w:rPr>
          <w:rFonts w:ascii="Georgia" w:hAnsi="Georgia"/>
          <w:color w:val="17494B"/>
        </w:rPr>
        <w:t>01 Opening &amp; Preparation</w:t>
      </w:r>
    </w:p>
    <w:p>
      <w:pPr>
        <w:spacing w:after="120"/>
      </w:pPr>
      <w:r>
        <w:rPr>
          <w:b w:val="0"/>
          <w:i w:val="0"/>
        </w:rPr>
        <w:t>Every station opens the same way. The chief complaint and vital signs are given to you on a separate form — read them before you enter.</w:t>
      </w:r>
    </w:p>
    <w:p>
      <w:pPr>
        <w:pStyle w:val="ListBullet"/>
        <w:spacing w:after="40"/>
      </w:pPr>
      <w:r>
        <w:rPr>
          <w:b/>
          <w:sz w:val="20"/>
        </w:rPr>
        <w:t xml:space="preserve">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Reviews the chief complaint and vital signs on the form before entering the room</w:t>
      </w:r>
    </w:p>
    <w:p>
      <w:pPr>
        <w:pStyle w:val="ListBullet"/>
        <w:spacing w:after="40"/>
      </w:pPr>
      <w:r>
        <w:rPr>
          <w:b/>
          <w:sz w:val="20"/>
        </w:rPr>
        <w:t xml:space="preserve">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Knocks, enters, and introduces self by name and role</w:t>
      </w:r>
      <w:r>
        <w:rPr>
          <w:sz w:val="20"/>
        </w:rPr>
        <w:br/>
      </w:r>
      <w:r>
        <w:rPr>
          <w:i/>
          <w:color w:val="335566"/>
          <w:sz w:val="20"/>
        </w:rPr>
        <w:t>"Hello, I am [name], a physician assistant student. I will be taking care of you today."</w:t>
      </w:r>
    </w:p>
    <w:p>
      <w:pPr>
        <w:pStyle w:val="ListBullet"/>
        <w:spacing w:after="40"/>
      </w:pPr>
      <w:r>
        <w:rPr>
          <w:b/>
          <w:sz w:val="20"/>
        </w:rPr>
        <w:t xml:space="preserve">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Confirms the patient's identity</w:t>
      </w:r>
      <w:r>
        <w:rPr>
          <w:sz w:val="20"/>
        </w:rPr>
        <w:br/>
      </w:r>
      <w:r>
        <w:rPr>
          <w:b w:val="0"/>
          <w:i w:val="0"/>
          <w:sz w:val="20"/>
        </w:rPr>
        <w:t>Patient identifying data is the one thing the “patient” will answer directly. Everything else comes from the facilitator.</w:t>
      </w:r>
    </w:p>
    <w:p>
      <w:pPr>
        <w:pStyle w:val="ListBullet"/>
        <w:spacing w:after="40"/>
      </w:pPr>
      <w:r>
        <w:rPr>
          <w:b/>
          <w:sz w:val="20"/>
        </w:rPr>
        <w:t xml:space="preserve">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Performs hand hygiene</w:t>
      </w:r>
    </w:p>
    <w:p>
      <w:pPr>
        <w:pStyle w:val="ListBullet"/>
        <w:spacing w:after="40"/>
      </w:pPr>
      <w:r>
        <w:rPr>
          <w:b/>
          <w:sz w:val="20"/>
        </w:rPr>
        <w:t xml:space="preserve">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the purpose of the visit and obtains permission to proceed</w:t>
      </w:r>
      <w:r>
        <w:rPr>
          <w:sz w:val="20"/>
        </w:rPr>
        <w:br/>
      </w:r>
      <w:r>
        <w:rPr>
          <w:i/>
          <w:color w:val="335566"/>
          <w:sz w:val="20"/>
        </w:rPr>
        <w:t>"I am going to ask you some questions about what brought you in, and then examine you. Is that all right?"</w:t>
      </w:r>
    </w:p>
    <w:p>
      <w:pPr>
        <w:pStyle w:val="ListBullet"/>
        <w:spacing w:after="40"/>
      </w:pPr>
      <w:r>
        <w:rPr>
          <w:b/>
          <w:sz w:val="20"/>
        </w:rPr>
        <w:t xml:space="preserve">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Ensures patient comfort and privacy before beginning</w:t>
      </w:r>
    </w:p>
    <w:p>
      <w:pPr>
        <w:pStyle w:val="ListBullet"/>
        <w:spacing w:after="40"/>
      </w:pPr>
      <w:r>
        <w:rPr>
          <w:b/>
          <w:sz w:val="20"/>
        </w:rPr>
        <w:t xml:space="preserve">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Interprets the vital signs out loud</w:t>
      </w:r>
      <w:r>
        <w:rPr>
          <w:sz w:val="20"/>
        </w:rPr>
        <w:br/>
      </w:r>
      <w:r>
        <w:rPr>
          <w:b w:val="0"/>
          <w:i w:val="0"/>
          <w:sz w:val="20"/>
        </w:rPr>
        <w:t>Do not just read them back. Say whether each is normal and what an abnormal one would mean for an ear, nose and throat complaint.</w:t>
      </w:r>
    </w:p>
    <w:p>
      <w:pPr>
        <w:pStyle w:val="Heading2"/>
        <w:spacing w:before="200" w:after="100"/>
      </w:pPr>
      <w:r>
        <w:rPr>
          <w:rFonts w:ascii="Georgia" w:hAnsi="Georgia"/>
          <w:color w:val="17494B"/>
        </w:rPr>
        <w:t>02 Focused History of Present Illness</w:t>
      </w:r>
    </w:p>
    <w:p>
      <w:pPr>
        <w:spacing w:after="120"/>
      </w:pPr>
      <w:r>
        <w:rPr>
          <w:b w:val="0"/>
          <w:i w:val="0"/>
        </w:rPr>
        <w:t>Take it focused. The chief complaint is on the form; this is where you build the story around it.</w:t>
      </w:r>
    </w:p>
    <w:p>
      <w:pPr>
        <w:spacing w:after="120"/>
      </w:pPr>
      <w:r>
        <w:rPr>
          <w:b w:val="0"/>
          <w:i w:val="0"/>
        </w:rPr>
        <w:t>OLD CHARTS — Onset · Location · Duration · Character · Alleviating and aggravating factors · Radiation · Temporal pattern · Symptoms associated. Any of the four pain mnemonics is acceptable; use one and use it completely.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The seven attributes, applied to the chief complaint</w:t>
      </w:r>
    </w:p>
    <w:p>
      <w:pPr>
        <w:pStyle w:val="ListBullet"/>
        <w:spacing w:after="40"/>
      </w:pPr>
      <w:r>
        <w:rPr>
          <w:b/>
          <w:sz w:val="20"/>
        </w:rPr>
        <w:t xml:space="preserve">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Onset — when it began, and what the patient was doing</w:t>
      </w:r>
    </w:p>
    <w:p>
      <w:pPr>
        <w:pStyle w:val="ListBullet"/>
        <w:spacing w:after="40"/>
      </w:pPr>
      <w:r>
        <w:rPr>
          <w:b/>
          <w:sz w:val="20"/>
        </w:rPr>
        <w:t xml:space="preserve">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Location — where it is, and whether the patient can point to it</w:t>
      </w:r>
    </w:p>
    <w:p>
      <w:pPr>
        <w:pStyle w:val="ListBullet"/>
        <w:spacing w:after="40"/>
      </w:pPr>
      <w:r>
        <w:rPr>
          <w:b/>
          <w:sz w:val="20"/>
        </w:rPr>
        <w:t xml:space="preserve">10.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Duration — constant or intermittent, and how long each episode lasts</w:t>
      </w:r>
    </w:p>
    <w:p>
      <w:pPr>
        <w:pStyle w:val="ListBullet"/>
        <w:spacing w:after="40"/>
      </w:pPr>
      <w:r>
        <w:rPr>
          <w:b/>
          <w:sz w:val="20"/>
        </w:rPr>
        <w:t xml:space="preserve">11.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Character — what it feels like, in the patient's own words</w:t>
      </w:r>
    </w:p>
    <w:p>
      <w:pPr>
        <w:pStyle w:val="ListBullet"/>
        <w:spacing w:after="40"/>
      </w:pPr>
      <w:r>
        <w:rPr>
          <w:b/>
          <w:sz w:val="20"/>
        </w:rPr>
        <w:t xml:space="preserve">12.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Alleviating and aggravating factors — what makes it better, what makes it worse</w:t>
      </w:r>
    </w:p>
    <w:p>
      <w:pPr>
        <w:pStyle w:val="ListBullet"/>
        <w:spacing w:after="40"/>
      </w:pPr>
      <w:r>
        <w:rPr>
          <w:b/>
          <w:sz w:val="20"/>
        </w:rPr>
        <w:t xml:space="preserve">13.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Radiation — whether it moves anywhere</w:t>
      </w:r>
    </w:p>
    <w:p>
      <w:pPr>
        <w:pStyle w:val="ListBullet"/>
        <w:spacing w:after="40"/>
      </w:pPr>
      <w:r>
        <w:rPr>
          <w:b/>
          <w:sz w:val="20"/>
        </w:rPr>
        <w:t xml:space="preserve">14.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Severity — on a scale of one to ten</w:t>
      </w:r>
      <w:r>
        <w:rPr>
          <w:sz w:val="20"/>
        </w:rPr>
        <w:br/>
      </w:r>
      <w:r>
        <w:rPr>
          <w:b w:val="0"/>
          <w:i w:val="0"/>
          <w:sz w:val="20"/>
        </w:rPr>
        <w:t>Anchor the scale. The number is meaningless until you ask what a ten is for this patient.</w:t>
      </w:r>
    </w:p>
    <w:p>
      <w:pPr>
        <w:pStyle w:val="ListBullet"/>
        <w:spacing w:after="40"/>
      </w:pPr>
      <w:r>
        <w:rPr>
          <w:b/>
          <w:sz w:val="20"/>
        </w:rPr>
        <w:t xml:space="preserve">15.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Temporal pattern — better or worse at any time of day, or with any activity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Associated symptoms — Ear, nose and throat</w:t>
      </w:r>
    </w:p>
    <w:p>
      <w:pPr>
        <w:pStyle w:val="ListBullet"/>
        <w:spacing w:after="40"/>
      </w:pPr>
      <w:r>
        <w:rPr>
          <w:b/>
          <w:sz w:val="20"/>
        </w:rPr>
        <w:t xml:space="preserve">16.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Ear pain — one side or both, and whether anything makes it worse</w:t>
      </w:r>
    </w:p>
    <w:p>
      <w:pPr>
        <w:pStyle w:val="ListBullet"/>
        <w:spacing w:after="40"/>
      </w:pPr>
      <w:r>
        <w:rPr>
          <w:b/>
          <w:sz w:val="20"/>
        </w:rPr>
        <w:t xml:space="preserve">17.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Ear discharge — and its character</w:t>
      </w:r>
    </w:p>
    <w:p>
      <w:pPr>
        <w:pStyle w:val="ListBullet"/>
        <w:spacing w:after="40"/>
      </w:pPr>
      <w:r>
        <w:rPr>
          <w:b/>
          <w:sz w:val="20"/>
        </w:rPr>
        <w:t xml:space="preserve">18.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Hearing change, and whether it came on suddenly or gradually</w:t>
      </w:r>
    </w:p>
    <w:p>
      <w:pPr>
        <w:pStyle w:val="ListBullet"/>
        <w:spacing w:after="40"/>
      </w:pPr>
      <w:r>
        <w:rPr>
          <w:b/>
          <w:sz w:val="20"/>
        </w:rPr>
        <w:t xml:space="preserve">19.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Tinnitus</w:t>
      </w:r>
    </w:p>
    <w:p>
      <w:pPr>
        <w:pStyle w:val="ListBullet"/>
        <w:spacing w:after="40"/>
      </w:pPr>
      <w:r>
        <w:rPr>
          <w:b/>
          <w:sz w:val="20"/>
        </w:rPr>
        <w:t xml:space="preserve">20.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Vertigo or dizziness</w:t>
      </w:r>
      <w:r>
        <w:rPr>
          <w:sz w:val="20"/>
        </w:rPr>
        <w:br/>
      </w:r>
      <w:r>
        <w:rPr>
          <w:b w:val="0"/>
          <w:i w:val="0"/>
          <w:sz w:val="20"/>
        </w:rPr>
        <w:t>Make the patient describe it rather than accepting the word “dizzy”.</w:t>
      </w:r>
    </w:p>
    <w:p>
      <w:pPr>
        <w:pStyle w:val="ListBullet"/>
        <w:spacing w:after="40"/>
      </w:pPr>
      <w:r>
        <w:rPr>
          <w:b/>
          <w:sz w:val="20"/>
        </w:rPr>
        <w:t xml:space="preserve">21.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Nasal congestion or obstruction</w:t>
      </w:r>
    </w:p>
    <w:p>
      <w:pPr>
        <w:pStyle w:val="ListBullet"/>
        <w:spacing w:after="40"/>
      </w:pPr>
      <w:r>
        <w:rPr>
          <w:b/>
          <w:sz w:val="20"/>
        </w:rPr>
        <w:t xml:space="preserve">22.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Rhinorrhea — and its character</w:t>
      </w:r>
    </w:p>
    <w:p>
      <w:pPr>
        <w:pStyle w:val="ListBullet"/>
        <w:spacing w:after="40"/>
      </w:pPr>
      <w:r>
        <w:rPr>
          <w:b/>
          <w:sz w:val="20"/>
        </w:rPr>
        <w:t xml:space="preserve">23.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Epistaxis</w:t>
      </w:r>
    </w:p>
    <w:p>
      <w:pPr>
        <w:pStyle w:val="ListBullet"/>
        <w:spacing w:after="40"/>
      </w:pPr>
      <w:r>
        <w:rPr>
          <w:b/>
          <w:sz w:val="20"/>
        </w:rPr>
        <w:t xml:space="preserve">24.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Facial pain or pressure, and whether it worsens on bending forward</w:t>
      </w:r>
    </w:p>
    <w:p>
      <w:pPr>
        <w:pStyle w:val="ListBullet"/>
        <w:spacing w:after="40"/>
      </w:pPr>
      <w:r>
        <w:rPr>
          <w:b/>
          <w:sz w:val="20"/>
        </w:rPr>
        <w:t xml:space="preserve">25.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Sore throat, and whether swallowing makes it worse</w:t>
      </w:r>
    </w:p>
    <w:p>
      <w:pPr>
        <w:pStyle w:val="ListBullet"/>
        <w:spacing w:after="40"/>
      </w:pPr>
      <w:r>
        <w:rPr>
          <w:b/>
          <w:sz w:val="20"/>
        </w:rPr>
        <w:t xml:space="preserve">26.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Dysphagia or odynophagia</w:t>
      </w:r>
    </w:p>
    <w:p>
      <w:pPr>
        <w:pStyle w:val="ListBullet"/>
        <w:spacing w:after="40"/>
      </w:pPr>
      <w:r>
        <w:rPr>
          <w:b/>
          <w:sz w:val="20"/>
        </w:rPr>
        <w:t xml:space="preserve">27.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Hoarseness or voice change</w:t>
      </w:r>
    </w:p>
    <w:p>
      <w:pPr>
        <w:pStyle w:val="ListBullet"/>
        <w:spacing w:after="40"/>
      </w:pPr>
      <w:r>
        <w:rPr>
          <w:b/>
          <w:sz w:val="20"/>
        </w:rPr>
        <w:t xml:space="preserve">28.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Fever</w:t>
      </w:r>
    </w:p>
    <w:p>
      <w:pPr>
        <w:pStyle w:val="ListBullet"/>
        <w:spacing w:after="40"/>
      </w:pPr>
      <w:r>
        <w:rPr>
          <w:b/>
          <w:sz w:val="20"/>
        </w:rPr>
        <w:t xml:space="preserve">29.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Recent upper respiratory infection, or sick contacts</w:t>
      </w:r>
      <w:r>
        <w:rPr>
          <w:sz w:val="20"/>
        </w:rPr>
        <w:br/>
      </w:r>
      <w:r>
        <w:rPr>
          <w:b w:val="0"/>
          <w:i w:val="0"/>
          <w:sz w:val="20"/>
        </w:rPr>
        <w:t>Bugs, drugs, contact applies here as much as in dermatology.</w:t>
      </w:r>
    </w:p>
    <w:p>
      <w:pPr>
        <w:pStyle w:val="Heading2"/>
        <w:spacing w:before="200" w:after="100"/>
      </w:pPr>
      <w:r>
        <w:rPr>
          <w:rFonts w:ascii="Georgia" w:hAnsi="Georgia"/>
          <w:color w:val="17494B"/>
        </w:rPr>
        <w:t>03 Focused Review of Systems, Past Medical, Social &amp; Family History</w:t>
      </w:r>
    </w:p>
    <w:p>
      <w:pPr>
        <w:spacing w:after="120"/>
      </w:pPr>
      <w:r>
        <w:rPr>
          <w:b w:val="0"/>
          <w:i w:val="0"/>
        </w:rPr>
        <w:t>All of these are FOCUSED, not comprehensive. Ask what bears on this complaint and on your differential — that selection is itself part of what is being graded.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Focused review of systems</w:t>
      </w:r>
    </w:p>
    <w:p>
      <w:pPr>
        <w:pStyle w:val="ListBullet"/>
        <w:spacing w:after="40"/>
      </w:pPr>
      <w:r>
        <w:rPr>
          <w:b/>
          <w:sz w:val="20"/>
        </w:rPr>
        <w:t xml:space="preserve">30.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Constitutional — fever, chills, fatigue, weight loss</w:t>
      </w:r>
    </w:p>
    <w:p>
      <w:pPr>
        <w:pStyle w:val="ListBullet"/>
        <w:spacing w:after="40"/>
      </w:pPr>
      <w:r>
        <w:rPr>
          <w:b/>
          <w:sz w:val="20"/>
        </w:rPr>
        <w:t xml:space="preserve">31.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Head and neck — headache, neck stiffness, neck swelling</w:t>
      </w:r>
    </w:p>
    <w:p>
      <w:pPr>
        <w:pStyle w:val="ListBullet"/>
        <w:spacing w:after="40"/>
      </w:pPr>
      <w:r>
        <w:rPr>
          <w:b/>
          <w:sz w:val="20"/>
        </w:rPr>
        <w:t xml:space="preserve">32.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Respiratory — cough, shortness of breath</w:t>
      </w:r>
    </w:p>
    <w:p>
      <w:pPr>
        <w:pStyle w:val="ListBullet"/>
        <w:spacing w:after="40"/>
      </w:pPr>
      <w:r>
        <w:rPr>
          <w:b/>
          <w:sz w:val="20"/>
        </w:rPr>
        <w:t xml:space="preserve">33.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Gastrointestinal — nausea, vomiting, reflux</w:t>
      </w:r>
      <w:r>
        <w:rPr>
          <w:sz w:val="20"/>
        </w:rPr>
        <w:br/>
      </w:r>
      <w:r>
        <w:rPr>
          <w:b w:val="0"/>
          <w:i w:val="0"/>
          <w:sz w:val="20"/>
        </w:rPr>
        <w:t>Reflux is a genuine cause of hoarseness and chronic sore throat.</w:t>
      </w:r>
    </w:p>
    <w:p>
      <w:pPr>
        <w:pStyle w:val="ListBullet"/>
        <w:spacing w:after="40"/>
      </w:pPr>
      <w:r>
        <w:rPr>
          <w:b/>
          <w:sz w:val="20"/>
        </w:rPr>
        <w:t xml:space="preserve">34.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Denies symptoms outside the focused set, and says so out loud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Focused past medical history</w:t>
      </w:r>
    </w:p>
    <w:p>
      <w:pPr>
        <w:pStyle w:val="ListBullet"/>
        <w:spacing w:after="40"/>
      </w:pPr>
      <w:r>
        <w:rPr>
          <w:b/>
          <w:sz w:val="20"/>
        </w:rPr>
        <w:t xml:space="preserve">35.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Prior episodes of the same problem, and what was done about them</w:t>
      </w:r>
    </w:p>
    <w:p>
      <w:pPr>
        <w:pStyle w:val="ListBullet"/>
        <w:spacing w:after="40"/>
      </w:pPr>
      <w:r>
        <w:rPr>
          <w:b/>
          <w:sz w:val="20"/>
        </w:rPr>
        <w:t xml:space="preserve">36.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Chronic medical conditions</w:t>
      </w:r>
    </w:p>
    <w:p>
      <w:pPr>
        <w:pStyle w:val="ListBullet"/>
        <w:spacing w:after="40"/>
      </w:pPr>
      <w:r>
        <w:rPr>
          <w:b/>
          <w:sz w:val="20"/>
        </w:rPr>
        <w:t xml:space="preserve">37.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Previous surgeries or procedures</w:t>
      </w:r>
    </w:p>
    <w:p>
      <w:pPr>
        <w:pStyle w:val="ListBullet"/>
        <w:spacing w:after="40"/>
      </w:pPr>
      <w:r>
        <w:rPr>
          <w:b/>
          <w:sz w:val="20"/>
        </w:rPr>
        <w:t xml:space="preserve">38.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Hospitalizations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Medications and allergies</w:t>
      </w:r>
    </w:p>
    <w:p>
      <w:pPr>
        <w:pStyle w:val="ListBullet"/>
        <w:spacing w:after="40"/>
      </w:pPr>
      <w:r>
        <w:rPr>
          <w:b/>
          <w:sz w:val="20"/>
        </w:rPr>
        <w:t xml:space="preserve">39.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Prescription medications, with dose and how long they have been taken</w:t>
      </w:r>
    </w:p>
    <w:p>
      <w:pPr>
        <w:pStyle w:val="ListBullet"/>
        <w:spacing w:after="40"/>
      </w:pPr>
      <w:r>
        <w:rPr>
          <w:b/>
          <w:sz w:val="20"/>
        </w:rPr>
        <w:t xml:space="preserve">40.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Over-the-counter medications, supplements and herbal products</w:t>
      </w:r>
      <w:r>
        <w:rPr>
          <w:sz w:val="20"/>
        </w:rPr>
        <w:br/>
      </w:r>
      <w:r>
        <w:rPr>
          <w:b w:val="0"/>
          <w:i w:val="0"/>
          <w:sz w:val="20"/>
        </w:rPr>
        <w:t>Easy to skip and easy to lose a point on. Ask it explicitly.</w:t>
      </w:r>
    </w:p>
    <w:p>
      <w:pPr>
        <w:pStyle w:val="ListBullet"/>
        <w:spacing w:after="40"/>
      </w:pPr>
      <w:r>
        <w:rPr>
          <w:b/>
          <w:sz w:val="20"/>
        </w:rPr>
        <w:t xml:space="preserve">41.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Allergies, and the reaction to each</w:t>
      </w:r>
      <w:r>
        <w:rPr>
          <w:sz w:val="20"/>
        </w:rPr>
        <w:br/>
      </w:r>
      <w:r>
        <w:rPr>
          <w:b w:val="0"/>
          <w:i w:val="0"/>
          <w:sz w:val="20"/>
        </w:rPr>
        <w:t>“No known drug allergies” is an answer; “allergies?” with no follow-up is not.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Focused social history</w:t>
      </w:r>
    </w:p>
    <w:p>
      <w:pPr>
        <w:pStyle w:val="ListBullet"/>
        <w:spacing w:after="40"/>
      </w:pPr>
      <w:r>
        <w:rPr>
          <w:b/>
          <w:sz w:val="20"/>
        </w:rPr>
        <w:t xml:space="preserve">42.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Tobacco use — current or past, and how much</w:t>
      </w:r>
    </w:p>
    <w:p>
      <w:pPr>
        <w:pStyle w:val="ListBullet"/>
        <w:spacing w:after="40"/>
      </w:pPr>
      <w:r>
        <w:rPr>
          <w:b/>
          <w:sz w:val="20"/>
        </w:rPr>
        <w:t xml:space="preserve">43.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Alcohol and recreational drug use</w:t>
      </w:r>
    </w:p>
    <w:p>
      <w:pPr>
        <w:pStyle w:val="ListBullet"/>
        <w:spacing w:after="40"/>
      </w:pPr>
      <w:r>
        <w:rPr>
          <w:b/>
          <w:sz w:val="20"/>
        </w:rPr>
        <w:t xml:space="preserve">44.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Occupation and relevant exposures</w:t>
      </w:r>
    </w:p>
    <w:p>
      <w:pPr>
        <w:pStyle w:val="ListBullet"/>
        <w:spacing w:after="40"/>
      </w:pPr>
      <w:r>
        <w:rPr>
          <w:b/>
          <w:sz w:val="20"/>
        </w:rPr>
        <w:t xml:space="preserve">45.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Living situation and who is at home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Focused family history</w:t>
      </w:r>
    </w:p>
    <w:p>
      <w:pPr>
        <w:pStyle w:val="ListBullet"/>
        <w:spacing w:after="40"/>
      </w:pPr>
      <w:r>
        <w:rPr>
          <w:b/>
          <w:sz w:val="20"/>
        </w:rPr>
        <w:t xml:space="preserve">46.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Conditions in first-degree relatives that bear on this complaint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Close the history</w:t>
      </w:r>
    </w:p>
    <w:p>
      <w:pPr>
        <w:pStyle w:val="ListBullet"/>
        <w:spacing w:after="40"/>
      </w:pPr>
      <w:r>
        <w:rPr>
          <w:b/>
          <w:sz w:val="20"/>
        </w:rPr>
        <w:t xml:space="preserve">47.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Summarizes the history back to the patient and asks whether anything was missed</w:t>
      </w:r>
      <w:r>
        <w:rPr>
          <w:sz w:val="20"/>
        </w:rPr>
        <w:br/>
      </w:r>
      <w:r>
        <w:rPr>
          <w:i/>
          <w:color w:val="335566"/>
          <w:sz w:val="20"/>
        </w:rPr>
        <w:t>"Let me make sure I have this right — [summary]. Is there anything else I should know?"</w:t>
      </w:r>
    </w:p>
    <w:p>
      <w:pPr>
        <w:pStyle w:val="ListBullet"/>
        <w:spacing w:after="40"/>
      </w:pPr>
      <w:r>
        <w:rPr>
          <w:b/>
          <w:sz w:val="20"/>
        </w:rPr>
        <w:t xml:space="preserve">48.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Signals the transition to the examination and obtains permission</w:t>
      </w:r>
      <w:r>
        <w:rPr>
          <w:sz w:val="20"/>
        </w:rPr>
        <w:br/>
      </w:r>
      <w:r>
        <w:rPr>
          <w:i/>
          <w:color w:val="335566"/>
          <w:sz w:val="20"/>
        </w:rPr>
        <w:t>"I would like to examine you now. Is that all right?"</w:t>
      </w:r>
    </w:p>
    <w:p>
      <w:pPr>
        <w:pStyle w:val="Heading2"/>
        <w:spacing w:before="200" w:after="100"/>
      </w:pPr>
      <w:r>
        <w:rPr>
          <w:rFonts w:ascii="Georgia" w:hAnsi="Georgia"/>
          <w:color w:val="17494B"/>
        </w:rPr>
        <w:t>04 Vital Signs &amp; General Survey</w:t>
      </w:r>
    </w:p>
    <w:p>
      <w:pPr>
        <w:spacing w:after="120"/>
      </w:pPr>
      <w:r>
        <w:rPr>
          <w:b w:val="0"/>
          <w:i w:val="0"/>
        </w:rPr>
        <w:t>Vitals are handed to you on the form. Interpreting them out loud is the graded part.</w:t>
      </w:r>
    </w:p>
    <w:p>
      <w:pPr>
        <w:pStyle w:val="ListBullet"/>
        <w:spacing w:after="40"/>
      </w:pPr>
      <w:r>
        <w:rPr>
          <w:b/>
          <w:sz w:val="20"/>
        </w:rPr>
        <w:t xml:space="preserve">49.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Restates the vital signs and interprets each one</w:t>
      </w:r>
    </w:p>
    <w:p>
      <w:pPr>
        <w:pStyle w:val="ListBullet"/>
        <w:spacing w:after="40"/>
      </w:pPr>
      <w:r>
        <w:rPr>
          <w:b/>
          <w:sz w:val="20"/>
        </w:rPr>
        <w:t xml:space="preserve">50.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Comments on any fever and what it adds to the differential</w:t>
      </w:r>
    </w:p>
    <w:p>
      <w:pPr>
        <w:pStyle w:val="ListBullet"/>
        <w:spacing w:after="40"/>
      </w:pPr>
      <w:r>
        <w:rPr>
          <w:b/>
          <w:sz w:val="20"/>
        </w:rPr>
        <w:t xml:space="preserve">51.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Performs a general survey — level of distress, hydration, voice, work of breathing</w:t>
      </w:r>
    </w:p>
    <w:p>
      <w:pPr>
        <w:pStyle w:val="Heading2"/>
        <w:spacing w:before="200" w:after="100"/>
      </w:pPr>
      <w:r>
        <w:rPr>
          <w:rFonts w:ascii="Georgia" w:hAnsi="Georgia"/>
          <w:color w:val="17494B"/>
        </w:rPr>
        <w:t>05 Focused Physical Examination — Ear, Nose &amp; Throat</w:t>
      </w:r>
    </w:p>
    <w:p>
      <w:pPr>
        <w:spacing w:after="120"/>
      </w:pPr>
      <w:r>
        <w:rPr>
          <w:b w:val="0"/>
          <w:i w:val="0"/>
        </w:rPr>
        <w:t>Maneuvers from the PD1 Head, Ears, Nose and Throat lab checksheet, reduced to what a focused ENT station grades and ordered as you would perform it. Narrate as you go.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General</w:t>
      </w:r>
    </w:p>
    <w:p>
      <w:pPr>
        <w:pStyle w:val="ListBullet"/>
        <w:spacing w:after="40"/>
      </w:pPr>
      <w:r>
        <w:rPr>
          <w:b/>
          <w:sz w:val="20"/>
        </w:rPr>
        <w:t xml:space="preserve">52.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Performs hand hygiene before touching the patient</w:t>
      </w:r>
    </w:p>
    <w:p>
      <w:pPr>
        <w:pStyle w:val="ListBullet"/>
        <w:spacing w:after="40"/>
      </w:pPr>
      <w:r>
        <w:rPr>
          <w:b/>
          <w:sz w:val="20"/>
        </w:rPr>
        <w:t xml:space="preserve">53.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Performs a general survey — distress, voice quality, audible stridor or mouth breathing</w:t>
      </w:r>
      <w:r>
        <w:rPr>
          <w:sz w:val="20"/>
        </w:rPr>
        <w:br/>
      </w:r>
      <w:r>
        <w:rPr>
          <w:b w:val="0"/>
          <w:i w:val="0"/>
          <w:sz w:val="20"/>
        </w:rPr>
        <w:t>Hoarseness or a muffled “hot potato” voice is a finding you get for free before you touch anything.</w:t>
      </w:r>
    </w:p>
    <w:p>
      <w:pPr>
        <w:pStyle w:val="ListBullet"/>
        <w:spacing w:after="40"/>
      </w:pPr>
      <w:r>
        <w:rPr>
          <w:b/>
          <w:sz w:val="20"/>
        </w:rPr>
        <w:t xml:space="preserve">54.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Gathers equipment — otoscope with speculum, penlight, tongue depressor, gloves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Ears</w:t>
      </w:r>
    </w:p>
    <w:p>
      <w:pPr>
        <w:pStyle w:val="ListBullet"/>
        <w:spacing w:after="40"/>
      </w:pPr>
      <w:r>
        <w:rPr>
          <w:b/>
          <w:sz w:val="20"/>
        </w:rPr>
        <w:t xml:space="preserve">55.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Inspects the auricle for deformities, discharge and lesions</w:t>
      </w:r>
      <w:r>
        <w:rPr>
          <w:sz w:val="20"/>
        </w:rPr>
        <w:br/>
      </w:r>
      <w:r>
        <w:rPr>
          <w:i/>
          <w:color w:val="335566"/>
          <w:sz w:val="20"/>
        </w:rPr>
        <w:t>"I am inspecting the auricle for deformities, discharge, or lesions."</w:t>
      </w:r>
    </w:p>
    <w:p>
      <w:pPr>
        <w:pStyle w:val="ListBullet"/>
        <w:spacing w:after="40"/>
      </w:pPr>
      <w:r>
        <w:rPr>
          <w:b/>
          <w:sz w:val="20"/>
        </w:rPr>
        <w:t xml:space="preserve">56.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Palpates the auricle, tragus and mastoid for tenderness</w:t>
      </w:r>
      <w:r>
        <w:rPr>
          <w:sz w:val="20"/>
        </w:rPr>
        <w:br/>
      </w:r>
      <w:r>
        <w:rPr>
          <w:i/>
          <w:color w:val="335566"/>
          <w:sz w:val="20"/>
        </w:rPr>
        <w:t>"I am palpating the auricle, tragus, and mastoid for tenderness."</w:t>
      </w:r>
      <w:r>
        <w:rPr>
          <w:sz w:val="20"/>
        </w:rPr>
        <w:br/>
      </w:r>
      <w:r>
        <w:rPr>
          <w:b w:val="0"/>
          <w:i w:val="0"/>
          <w:sz w:val="20"/>
        </w:rPr>
        <w:t>Tragal tenderness points outward to the canal; mastoid tenderness points inward and is the worrying one.</w:t>
      </w:r>
    </w:p>
    <w:p>
      <w:pPr>
        <w:pStyle w:val="ListBullet"/>
        <w:spacing w:after="40"/>
      </w:pPr>
      <w:r>
        <w:rPr>
          <w:b/>
          <w:sz w:val="20"/>
        </w:rPr>
        <w:t xml:space="preserve">57.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Chooses an appropriately sized speculum</w:t>
      </w:r>
    </w:p>
    <w:p>
      <w:pPr>
        <w:pStyle w:val="ListBullet"/>
        <w:spacing w:after="40"/>
      </w:pPr>
      <w:r>
        <w:rPr>
          <w:b/>
          <w:sz w:val="20"/>
        </w:rPr>
        <w:t xml:space="preserve">58.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Pulls the auricle upward, outward and back to straighten the canal</w:t>
      </w:r>
    </w:p>
    <w:p>
      <w:pPr>
        <w:pStyle w:val="ListBullet"/>
        <w:spacing w:after="40"/>
      </w:pPr>
      <w:r>
        <w:rPr>
          <w:b/>
          <w:sz w:val="20"/>
        </w:rPr>
        <w:t xml:space="preserve">59.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Verbalizes the structures assessed in the ear canal</w:t>
      </w:r>
      <w:r>
        <w:rPr>
          <w:sz w:val="20"/>
        </w:rPr>
        <w:br/>
      </w:r>
      <w:r>
        <w:rPr>
          <w:i/>
          <w:color w:val="335566"/>
          <w:sz w:val="20"/>
        </w:rPr>
        <w:t>"I am noting the condition of the external canal, the amount of cerumen, and the presence of any inflammation, edema, or foreign bodies."</w:t>
      </w:r>
    </w:p>
    <w:p>
      <w:pPr>
        <w:pStyle w:val="ListBullet"/>
        <w:spacing w:after="40"/>
      </w:pPr>
      <w:r>
        <w:rPr>
          <w:b/>
          <w:sz w:val="20"/>
        </w:rPr>
        <w:t xml:space="preserve">60.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Notes the color and contour of the tympanic membrane</w:t>
      </w:r>
      <w:r>
        <w:rPr>
          <w:sz w:val="20"/>
        </w:rPr>
        <w:br/>
      </w:r>
      <w:r>
        <w:rPr>
          <w:i/>
          <w:color w:val="335566"/>
          <w:sz w:val="20"/>
        </w:rPr>
        <w:t>"I am noting the color and contour of the tympanic membrane as pearly gray."</w:t>
      </w:r>
    </w:p>
    <w:p>
      <w:pPr>
        <w:pStyle w:val="ListBullet"/>
        <w:spacing w:after="40"/>
      </w:pPr>
      <w:r>
        <w:rPr>
          <w:b/>
          <w:sz w:val="20"/>
        </w:rPr>
        <w:t xml:space="preserve">61.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Identifies the landmarks and the light reflex</w:t>
      </w:r>
      <w:r>
        <w:rPr>
          <w:sz w:val="20"/>
        </w:rPr>
        <w:br/>
      </w:r>
      <w:r>
        <w:rPr>
          <w:i/>
          <w:color w:val="335566"/>
          <w:sz w:val="20"/>
        </w:rPr>
        <w:t>"I am visualizing the malleus, umbo, pars tensa, pars flaccida, and the cone of light."</w:t>
      </w:r>
    </w:p>
    <w:p>
      <w:pPr>
        <w:pStyle w:val="ListBullet"/>
        <w:spacing w:after="40"/>
      </w:pPr>
      <w:r>
        <w:rPr>
          <w:b/>
          <w:sz w:val="20"/>
        </w:rPr>
        <w:t xml:space="preserve">62.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Examines both ears — the unaffected side first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Hearing — cranial nerve VIII</w:t>
      </w:r>
    </w:p>
    <w:p>
      <w:pPr>
        <w:pStyle w:val="ListBullet"/>
        <w:spacing w:after="40"/>
      </w:pPr>
      <w:r>
        <w:rPr>
          <w:b/>
          <w:sz w:val="20"/>
        </w:rPr>
        <w:t xml:space="preserve">63.  </w:t>
      </w:r>
      <w:r>
        <w:rPr>
          <w:sz w:val="20"/>
        </w:rPr>
        <w:t xml:space="preserve">☐ </w:t>
      </w:r>
      <w:r>
        <w:rPr>
          <w:sz w:val="20"/>
        </w:rPr>
        <w:br/>
      </w:r>
      <w:r>
        <w:rPr>
          <w:b w:val="0"/>
          <w:i w:val="0"/>
          <w:sz w:val="20"/>
        </w:rPr>
        <w:t>CN VIII</w:t>
      </w:r>
      <w:r>
        <w:rPr>
          <w:b w:val="0"/>
          <w:i w:val="0"/>
          <w:sz w:val="20"/>
        </w:rPr>
        <w:t xml:space="preserve">States the cranial nerve number and name — </w:t>
      </w:r>
      <w:r>
        <w:rPr>
          <w:b/>
          <w:i w:val="0"/>
          <w:sz w:val="20"/>
        </w:rPr>
        <w:t>VIII, Vestibulocochlear</w:t>
      </w:r>
    </w:p>
    <w:p>
      <w:pPr>
        <w:pStyle w:val="ListBullet"/>
        <w:spacing w:after="40"/>
      </w:pPr>
      <w:r>
        <w:rPr>
          <w:b/>
          <w:sz w:val="20"/>
        </w:rPr>
        <w:t xml:space="preserve">64.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Verbalizes that the canals were confirmed patent first, with the otoscope</w:t>
      </w:r>
    </w:p>
    <w:p>
      <w:pPr>
        <w:pStyle w:val="ListBullet"/>
        <w:spacing w:after="40"/>
      </w:pPr>
      <w:r>
        <w:rPr>
          <w:b/>
          <w:sz w:val="20"/>
        </w:rPr>
        <w:t xml:space="preserve">65.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Performs the whispered hearing test bilaterally, standing two feet away</w:t>
      </w:r>
    </w:p>
    <w:p>
      <w:pPr>
        <w:pStyle w:val="ListBullet"/>
        <w:spacing w:after="40"/>
      </w:pPr>
      <w:r>
        <w:rPr>
          <w:b/>
          <w:sz w:val="20"/>
        </w:rPr>
        <w:t xml:space="preserve">66.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Verbalizes the follow-up if gross hearing is abnormal</w:t>
      </w:r>
      <w:r>
        <w:rPr>
          <w:sz w:val="20"/>
        </w:rPr>
        <w:br/>
      </w:r>
      <w:r>
        <w:rPr>
          <w:i/>
          <w:color w:val="335566"/>
          <w:sz w:val="20"/>
        </w:rPr>
        <w:t>"If this test was abnormal, I would perform a Rinne and Weber test for bone versus air conduction."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Nose &amp; sinuses</w:t>
      </w:r>
    </w:p>
    <w:p>
      <w:pPr>
        <w:pStyle w:val="ListBullet"/>
        <w:spacing w:after="40"/>
      </w:pPr>
      <w:r>
        <w:rPr>
          <w:b/>
          <w:sz w:val="20"/>
        </w:rPr>
        <w:t xml:space="preserve">67.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Inspects the external nose for deformities</w:t>
      </w:r>
      <w:r>
        <w:rPr>
          <w:sz w:val="20"/>
        </w:rPr>
        <w:br/>
      </w:r>
      <w:r>
        <w:rPr>
          <w:i/>
          <w:color w:val="335566"/>
          <w:sz w:val="20"/>
        </w:rPr>
        <w:t>"I am inspecting the nose for deformities."</w:t>
      </w:r>
    </w:p>
    <w:p>
      <w:pPr>
        <w:pStyle w:val="ListBullet"/>
        <w:spacing w:after="40"/>
      </w:pPr>
      <w:r>
        <w:rPr>
          <w:b/>
          <w:sz w:val="20"/>
        </w:rPr>
        <w:t xml:space="preserve">68.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Evaluates nasal patency bilaterally — occludes one nostril and has the patient sniff</w:t>
      </w:r>
    </w:p>
    <w:p>
      <w:pPr>
        <w:pStyle w:val="ListBullet"/>
        <w:spacing w:after="40"/>
      </w:pPr>
      <w:r>
        <w:rPr>
          <w:b/>
          <w:sz w:val="20"/>
        </w:rPr>
        <w:t xml:space="preserve">69.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Palpates the nose for tenderness</w:t>
      </w:r>
    </w:p>
    <w:p>
      <w:pPr>
        <w:pStyle w:val="ListBullet"/>
        <w:spacing w:after="40"/>
      </w:pPr>
      <w:r>
        <w:rPr>
          <w:b/>
          <w:sz w:val="20"/>
        </w:rPr>
        <w:t xml:space="preserve">70.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Uses the otoscope with an appropriate speculum to inspect the nares</w:t>
      </w:r>
      <w:r>
        <w:rPr>
          <w:sz w:val="20"/>
        </w:rPr>
        <w:br/>
      </w:r>
      <w:r>
        <w:rPr>
          <w:i/>
          <w:color w:val="335566"/>
          <w:sz w:val="20"/>
        </w:rPr>
        <w:t>"I am inspecting the condition of the nasal mucosa, the turbinates for polyps, and the nasal septum for septal deviation or perforations."</w:t>
      </w:r>
    </w:p>
    <w:p>
      <w:pPr>
        <w:pStyle w:val="ListBullet"/>
        <w:spacing w:after="40"/>
      </w:pPr>
      <w:r>
        <w:rPr>
          <w:b/>
          <w:sz w:val="20"/>
        </w:rPr>
        <w:t xml:space="preserve">71.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Palpates the frontal and maxillary sinuses for tenderness</w:t>
      </w:r>
    </w:p>
    <w:p>
      <w:pPr>
        <w:pStyle w:val="ListBullet"/>
        <w:spacing w:after="40"/>
      </w:pPr>
      <w:r>
        <w:rPr>
          <w:b/>
          <w:sz w:val="20"/>
        </w:rPr>
        <w:t xml:space="preserve">72.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Verbalizes transillumination of the sinuses if sinusitis is suspected</w:t>
      </w:r>
    </w:p>
    <w:p>
      <w:pPr>
        <w:pStyle w:val="ListBullet"/>
        <w:spacing w:after="40"/>
      </w:pPr>
      <w:r>
        <w:rPr>
          <w:b/>
          <w:sz w:val="20"/>
        </w:rPr>
        <w:t xml:space="preserve">73.  </w:t>
      </w:r>
      <w:r>
        <w:rPr>
          <w:sz w:val="20"/>
        </w:rPr>
        <w:t xml:space="preserve">☐ </w:t>
      </w:r>
      <w:r>
        <w:rPr>
          <w:sz w:val="20"/>
        </w:rPr>
        <w:br/>
      </w:r>
      <w:r>
        <w:rPr>
          <w:b w:val="0"/>
          <w:i w:val="0"/>
          <w:sz w:val="20"/>
        </w:rPr>
        <w:t>CN I</w:t>
      </w:r>
      <w:r>
        <w:rPr>
          <w:b w:val="0"/>
          <w:i w:val="0"/>
          <w:sz w:val="20"/>
        </w:rPr>
        <w:t xml:space="preserve">States the cranial nerve number and name — </w:t>
      </w:r>
      <w:r>
        <w:rPr>
          <w:b/>
          <w:i w:val="0"/>
          <w:sz w:val="20"/>
        </w:rPr>
        <w:t>I, Olfactory</w:t>
      </w:r>
      <w:r>
        <w:rPr>
          <w:sz w:val="20"/>
        </w:rPr>
        <w:br/>
      </w:r>
      <w:r>
        <w:rPr>
          <w:b w:val="0"/>
          <w:i w:val="0"/>
          <w:sz w:val="20"/>
        </w:rPr>
        <w:t>Test it here if the complaint involves smell; otherwise verbalize that you would.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Oral cavity &amp; pharynx</w:t>
      </w:r>
    </w:p>
    <w:p>
      <w:pPr>
        <w:pStyle w:val="ListBullet"/>
        <w:spacing w:after="40"/>
      </w:pPr>
      <w:r>
        <w:rPr>
          <w:b/>
          <w:sz w:val="20"/>
        </w:rPr>
        <w:t xml:space="preserve">74.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Uses a penlight and tongue depressor, and gloves to palpate</w:t>
      </w:r>
    </w:p>
    <w:p>
      <w:pPr>
        <w:pStyle w:val="ListBullet"/>
        <w:spacing w:after="40"/>
      </w:pPr>
      <w:r>
        <w:rPr>
          <w:b/>
          <w:sz w:val="20"/>
        </w:rPr>
        <w:t xml:space="preserve">75.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Inspects the lips, buccal mucosa, gingiva, floor of mouth and teeth</w:t>
      </w:r>
      <w:r>
        <w:rPr>
          <w:sz w:val="20"/>
        </w:rPr>
        <w:br/>
      </w:r>
      <w:r>
        <w:rPr>
          <w:i/>
          <w:color w:val="335566"/>
          <w:sz w:val="20"/>
        </w:rPr>
        <w:t>"I am inspecting the nasolabial fold, lips, buccal mucosa, gingiva, floor of mouth, and teeth."</w:t>
      </w:r>
    </w:p>
    <w:p>
      <w:pPr>
        <w:pStyle w:val="ListBullet"/>
        <w:spacing w:after="40"/>
      </w:pPr>
      <w:r>
        <w:rPr>
          <w:b/>
          <w:sz w:val="20"/>
        </w:rPr>
        <w:t xml:space="preserve">76.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Notes inflammation, lesions and the condition of the dentition</w:t>
      </w:r>
      <w:r>
        <w:rPr>
          <w:sz w:val="20"/>
        </w:rPr>
        <w:br/>
      </w:r>
      <w:r>
        <w:rPr>
          <w:i/>
          <w:color w:val="335566"/>
          <w:sz w:val="20"/>
        </w:rPr>
        <w:t>"I am noting any inflammation or lesions and condition of dentition."</w:t>
      </w:r>
    </w:p>
    <w:p>
      <w:pPr>
        <w:pStyle w:val="ListBullet"/>
        <w:spacing w:after="40"/>
      </w:pPr>
      <w:r>
        <w:rPr>
          <w:b/>
          <w:sz w:val="20"/>
        </w:rPr>
        <w:t xml:space="preserve">77.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Inspects the palate and oropharynx for inflammation and lesions</w:t>
      </w:r>
      <w:r>
        <w:rPr>
          <w:sz w:val="20"/>
        </w:rPr>
        <w:br/>
      </w:r>
      <w:r>
        <w:rPr>
          <w:i/>
          <w:color w:val="335566"/>
          <w:sz w:val="20"/>
        </w:rPr>
        <w:t>"I am inspecting the palate and oropharynx for inflammation or lesions."</w:t>
      </w:r>
    </w:p>
    <w:p>
      <w:pPr>
        <w:pStyle w:val="ListBullet"/>
        <w:spacing w:after="40"/>
      </w:pPr>
      <w:r>
        <w:rPr>
          <w:b/>
          <w:sz w:val="20"/>
        </w:rPr>
        <w:t xml:space="preserve">78.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Inspects the posterior pharynx, noting the condition of the tonsils</w:t>
      </w:r>
      <w:r>
        <w:rPr>
          <w:sz w:val="20"/>
        </w:rPr>
        <w:br/>
      </w:r>
      <w:r>
        <w:rPr>
          <w:i/>
          <w:color w:val="335566"/>
          <w:sz w:val="20"/>
        </w:rPr>
        <w:t>"I am inspecting the posterior pharynx noting the condition of the tonsils."</w:t>
      </w:r>
      <w:r>
        <w:rPr>
          <w:sz w:val="20"/>
        </w:rPr>
        <w:br/>
      </w:r>
      <w:r>
        <w:rPr>
          <w:b w:val="0"/>
          <w:i w:val="0"/>
          <w:sz w:val="20"/>
        </w:rPr>
        <w:t>Note tonsillar size, exudate, and whether the uvula is midline — deviation is the finding that changes the plan.</w:t>
      </w:r>
    </w:p>
    <w:p>
      <w:pPr>
        <w:pStyle w:val="ListBullet"/>
        <w:spacing w:after="40"/>
      </w:pPr>
      <w:r>
        <w:rPr>
          <w:b/>
          <w:sz w:val="20"/>
        </w:rPr>
        <w:t xml:space="preserve">79.  </w:t>
      </w:r>
      <w:r>
        <w:rPr>
          <w:sz w:val="20"/>
        </w:rPr>
        <w:t xml:space="preserve">☐ </w:t>
      </w:r>
      <w:r>
        <w:rPr>
          <w:sz w:val="20"/>
        </w:rPr>
        <w:br/>
      </w:r>
      <w:r>
        <w:rPr>
          <w:b w:val="0"/>
          <w:i w:val="0"/>
          <w:sz w:val="20"/>
        </w:rPr>
        <w:t>CN IX · X</w:t>
      </w:r>
      <w:r>
        <w:rPr>
          <w:b w:val="0"/>
          <w:i w:val="0"/>
          <w:sz w:val="20"/>
        </w:rPr>
        <w:t xml:space="preserve">States the cranial nerve numbers and names — </w:t>
      </w:r>
      <w:r>
        <w:rPr>
          <w:b/>
          <w:i w:val="0"/>
          <w:sz w:val="20"/>
        </w:rPr>
        <w:t>IX Glossopharyngeal, X Vagus</w:t>
      </w:r>
    </w:p>
    <w:p>
      <w:pPr>
        <w:pStyle w:val="ListBullet"/>
        <w:spacing w:after="40"/>
      </w:pPr>
      <w:r>
        <w:rPr>
          <w:b/>
          <w:sz w:val="20"/>
        </w:rPr>
        <w:t xml:space="preserve">80.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Asks the patient to say “AHH” while observing and listening</w:t>
      </w:r>
      <w:r>
        <w:rPr>
          <w:sz w:val="20"/>
        </w:rPr>
        <w:br/>
      </w:r>
      <w:r>
        <w:rPr>
          <w:i/>
          <w:color w:val="335566"/>
          <w:sz w:val="20"/>
        </w:rPr>
        <w:t>"I am noting the phonation and symmetrical rise and fall of the soft palate and uvula."</w:t>
      </w:r>
    </w:p>
    <w:p>
      <w:pPr>
        <w:pStyle w:val="ListBullet"/>
        <w:spacing w:after="40"/>
      </w:pPr>
      <w:r>
        <w:rPr>
          <w:b/>
          <w:sz w:val="20"/>
        </w:rPr>
        <w:t xml:space="preserve">81.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Verbalizes performance of the gag reflex</w:t>
      </w:r>
    </w:p>
    <w:p>
      <w:pPr>
        <w:pStyle w:val="ListBullet"/>
        <w:spacing w:after="40"/>
      </w:pPr>
      <w:r>
        <w:rPr>
          <w:b/>
          <w:sz w:val="20"/>
        </w:rPr>
        <w:t xml:space="preserve">82.  </w:t>
      </w:r>
      <w:r>
        <w:rPr>
          <w:sz w:val="20"/>
        </w:rPr>
        <w:t xml:space="preserve">☐ </w:t>
      </w:r>
      <w:r>
        <w:rPr>
          <w:sz w:val="20"/>
        </w:rPr>
        <w:br/>
      </w:r>
      <w:r>
        <w:rPr>
          <w:b w:val="0"/>
          <w:i w:val="0"/>
          <w:sz w:val="20"/>
        </w:rPr>
        <w:t>CN XII</w:t>
      </w:r>
      <w:r>
        <w:rPr>
          <w:b w:val="0"/>
          <w:i w:val="0"/>
          <w:sz w:val="20"/>
        </w:rPr>
        <w:t xml:space="preserve">States the cranial nerve number and name — </w:t>
      </w:r>
      <w:r>
        <w:rPr>
          <w:b/>
          <w:i w:val="0"/>
          <w:sz w:val="20"/>
        </w:rPr>
        <w:t>XII, Hypoglossal</w:t>
      </w:r>
    </w:p>
    <w:p>
      <w:pPr>
        <w:pStyle w:val="ListBullet"/>
        <w:spacing w:after="40"/>
      </w:pPr>
      <w:r>
        <w:rPr>
          <w:b/>
          <w:sz w:val="20"/>
        </w:rPr>
        <w:t xml:space="preserve">83.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Asks the patient to protrude the tongue and notes color, texture and whether it is midline</w:t>
      </w:r>
      <w:r>
        <w:rPr>
          <w:sz w:val="20"/>
        </w:rPr>
        <w:br/>
      </w:r>
      <w:r>
        <w:rPr>
          <w:i/>
          <w:color w:val="335566"/>
          <w:sz w:val="20"/>
        </w:rPr>
        <w:t>"I am noting the color and texture of the tongue and assessing if it is midline."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Neck &amp; lymph nodes</w:t>
      </w:r>
    </w:p>
    <w:p>
      <w:pPr>
        <w:pStyle w:val="ListBullet"/>
        <w:spacing w:after="40"/>
      </w:pPr>
      <w:r>
        <w:rPr>
          <w:b/>
          <w:sz w:val="20"/>
        </w:rPr>
        <w:t xml:space="preserve">84.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Inspects the anterior neck for masses, asymmetry and thyromegaly</w:t>
      </w:r>
      <w:r>
        <w:rPr>
          <w:sz w:val="20"/>
        </w:rPr>
        <w:br/>
      </w:r>
      <w:r>
        <w:rPr>
          <w:i/>
          <w:color w:val="335566"/>
          <w:sz w:val="20"/>
        </w:rPr>
        <w:t>"I am inspecting the anterior neck for masses, asymmetry, or thyromegaly."</w:t>
      </w:r>
    </w:p>
    <w:p>
      <w:pPr>
        <w:pStyle w:val="ListBullet"/>
        <w:spacing w:after="40"/>
      </w:pPr>
      <w:r>
        <w:rPr>
          <w:b/>
          <w:sz w:val="20"/>
        </w:rPr>
        <w:t xml:space="preserve">85.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Inspects and palpates the position of the trachea</w:t>
      </w:r>
      <w:r>
        <w:rPr>
          <w:sz w:val="20"/>
        </w:rPr>
        <w:br/>
      </w:r>
      <w:r>
        <w:rPr>
          <w:i/>
          <w:color w:val="335566"/>
          <w:sz w:val="20"/>
        </w:rPr>
        <w:t>"I am inspecting and palpating the position of the trachea."</w:t>
      </w:r>
    </w:p>
    <w:p>
      <w:pPr>
        <w:pStyle w:val="ListBullet"/>
        <w:spacing w:after="40"/>
      </w:pPr>
      <w:r>
        <w:rPr>
          <w:b/>
          <w:sz w:val="20"/>
        </w:rPr>
        <w:t xml:space="preserve">86.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Palpates the thyroid isthmus and each lobe</w:t>
      </w:r>
    </w:p>
    <w:p>
      <w:pPr>
        <w:pStyle w:val="ListBullet"/>
        <w:spacing w:after="40"/>
      </w:pPr>
      <w:r>
        <w:rPr>
          <w:b/>
          <w:sz w:val="20"/>
        </w:rPr>
        <w:t xml:space="preserve">87.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Verbalizes the names of the lymph nodes as they are palpated</w:t>
      </w:r>
    </w:p>
    <w:p>
      <w:pPr>
        <w:pStyle w:val="ListBullet"/>
        <w:spacing w:after="40"/>
      </w:pPr>
      <w:r>
        <w:rPr>
          <w:b/>
          <w:sz w:val="20"/>
        </w:rPr>
        <w:t xml:space="preserve">88.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Palpates using the pads of the fingers in a circular motion</w:t>
      </w:r>
    </w:p>
    <w:p>
      <w:pPr>
        <w:pStyle w:val="ListBullet"/>
        <w:spacing w:after="40"/>
      </w:pPr>
      <w:r>
        <w:rPr>
          <w:b/>
          <w:sz w:val="20"/>
        </w:rPr>
        <w:t xml:space="preserve">89.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Preauricular · posterior auricular · occipital</w:t>
      </w:r>
    </w:p>
    <w:p>
      <w:pPr>
        <w:pStyle w:val="ListBullet"/>
        <w:spacing w:after="40"/>
      </w:pPr>
      <w:r>
        <w:rPr>
          <w:b/>
          <w:sz w:val="20"/>
        </w:rPr>
        <w:t xml:space="preserve">90.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Tonsillar · submandibular · submental</w:t>
      </w:r>
    </w:p>
    <w:p>
      <w:pPr>
        <w:pStyle w:val="ListBullet"/>
        <w:spacing w:after="40"/>
      </w:pPr>
      <w:r>
        <w:rPr>
          <w:b/>
          <w:sz w:val="20"/>
        </w:rPr>
        <w:t xml:space="preserve">91.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Superficial cervical · posterior cervical · deep cervical chains</w:t>
      </w:r>
    </w:p>
    <w:p>
      <w:pPr>
        <w:pStyle w:val="ListBullet"/>
        <w:spacing w:after="40"/>
      </w:pPr>
      <w:r>
        <w:rPr>
          <w:b/>
          <w:sz w:val="20"/>
        </w:rPr>
        <w:t xml:space="preserve">92.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Supraclavicular — asks the patient to take a deep breath during palpation</w:t>
      </w:r>
    </w:p>
    <w:p>
      <w:pPr>
        <w:pStyle w:val="ListBullet"/>
        <w:spacing w:after="40"/>
      </w:pPr>
      <w:r>
        <w:rPr>
          <w:b/>
          <w:sz w:val="20"/>
        </w:rPr>
        <w:t xml:space="preserve">93.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Describes any node found — size, consistency, mobility, tenderness</w:t>
      </w:r>
      <w:r>
        <w:rPr>
          <w:sz w:val="20"/>
        </w:rPr>
        <w:br/>
      </w:r>
      <w:r>
        <w:rPr>
          <w:b w:val="0"/>
          <w:i w:val="0"/>
          <w:sz w:val="20"/>
        </w:rPr>
        <w:t>A tender, mobile, soft node reads infectious; a hard, fixed, non-tender one does not.</w:t>
      </w:r>
    </w:p>
    <w:p>
      <w:pPr>
        <w:pStyle w:val="Heading2"/>
        <w:spacing w:before="200" w:after="100"/>
      </w:pPr>
      <w:r>
        <w:rPr>
          <w:rFonts w:ascii="Georgia" w:hAnsi="Georgia"/>
          <w:color w:val="17494B"/>
        </w:rPr>
        <w:t>06 Differentials, Studies &amp; Diagnosis</w:t>
      </w:r>
    </w:p>
    <w:p>
      <w:pPr>
        <w:spacing w:after="120"/>
      </w:pPr>
      <w:r>
        <w:rPr>
          <w:b w:val="0"/>
          <w:i w:val="0"/>
        </w:rPr>
        <w:t>Spoken, not performed. This is the part that separates a strong station from a complete one, and it is where the small groups have been training you: every request needs a reason attached.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Differential diagnosis</w:t>
      </w:r>
    </w:p>
    <w:p>
      <w:pPr>
        <w:pStyle w:val="ListBullet"/>
        <w:spacing w:after="40"/>
      </w:pPr>
      <w:r>
        <w:rPr>
          <w:b/>
          <w:sz w:val="20"/>
        </w:rPr>
        <w:t xml:space="preserve">94.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a differential diagnosis out loud</w:t>
      </w:r>
      <w:r>
        <w:rPr>
          <w:sz w:val="20"/>
        </w:rPr>
        <w:br/>
      </w:r>
      <w:r>
        <w:rPr>
          <w:b w:val="0"/>
          <w:i w:val="0"/>
          <w:sz w:val="20"/>
        </w:rPr>
        <w:t>Three is a reasonable floor for an ENT station. Say them; do not leave them implied.</w:t>
      </w:r>
    </w:p>
    <w:p>
      <w:pPr>
        <w:pStyle w:val="ListBullet"/>
        <w:spacing w:after="40"/>
      </w:pPr>
      <w:r>
        <w:rPr>
          <w:b/>
          <w:sz w:val="20"/>
        </w:rPr>
        <w:t xml:space="preserve">95.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Includes the worst-case diagnosis that must be excluded, even if it is unlikely</w:t>
      </w:r>
      <w:r>
        <w:rPr>
          <w:sz w:val="20"/>
        </w:rPr>
        <w:br/>
      </w:r>
      <w:r>
        <w:rPr>
          <w:b w:val="0"/>
          <w:i w:val="0"/>
          <w:sz w:val="20"/>
        </w:rPr>
        <w:t>“What must be examined to rule out the worst-case scenario?” is one of the two questions that decide the scope of a focused encounter.</w:t>
      </w:r>
    </w:p>
    <w:p>
      <w:pPr>
        <w:pStyle w:val="ListBullet"/>
        <w:spacing w:after="40"/>
      </w:pPr>
      <w:r>
        <w:rPr>
          <w:b/>
          <w:sz w:val="20"/>
        </w:rPr>
        <w:t xml:space="preserve">96.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Justifies each differential against a specific finding from the history or examination</w:t>
      </w:r>
      <w:r>
        <w:rPr>
          <w:sz w:val="20"/>
        </w:rPr>
        <w:br/>
      </w:r>
      <w:r>
        <w:rPr>
          <w:i/>
          <w:color w:val="335566"/>
          <w:sz w:val="20"/>
        </w:rPr>
        <w:t>"[Diagnosis] is on my differential because of [finding], and against it is [finding]."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Laboratory and imaging studies</w:t>
      </w:r>
    </w:p>
    <w:p>
      <w:pPr>
        <w:pStyle w:val="ListBullet"/>
        <w:spacing w:after="40"/>
      </w:pPr>
      <w:r>
        <w:rPr>
          <w:b/>
          <w:sz w:val="20"/>
        </w:rPr>
        <w:t xml:space="preserve">97.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which studies would be ordered</w:t>
      </w:r>
    </w:p>
    <w:p>
      <w:pPr>
        <w:pStyle w:val="ListBullet"/>
        <w:spacing w:after="40"/>
      </w:pPr>
      <w:r>
        <w:rPr>
          <w:b/>
          <w:sz w:val="20"/>
        </w:rPr>
        <w:t xml:space="preserve">98.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Justifies each one — why it is needed and what it would tell you about the patient</w:t>
      </w:r>
      <w:r>
        <w:rPr>
          <w:sz w:val="20"/>
        </w:rPr>
        <w:br/>
      </w:r>
      <w:r>
        <w:rPr>
          <w:b w:val="0"/>
          <w:i w:val="0"/>
          <w:sz w:val="20"/>
        </w:rPr>
        <w:t>This is the exact standard the small groups apply: a facilitator will not release information until the justification is given.</w:t>
      </w:r>
    </w:p>
    <w:p>
      <w:pPr>
        <w:pStyle w:val="ListBullet"/>
        <w:spacing w:after="40"/>
      </w:pPr>
      <w:r>
        <w:rPr>
          <w:b/>
          <w:sz w:val="20"/>
        </w:rPr>
        <w:t xml:space="preserve">99.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which differential each study would rule in or rule out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Diagnosis</w:t>
      </w:r>
    </w:p>
    <w:p>
      <w:pPr>
        <w:pStyle w:val="ListBullet"/>
        <w:spacing w:after="40"/>
      </w:pPr>
      <w:r>
        <w:rPr>
          <w:b/>
          <w:sz w:val="20"/>
        </w:rPr>
        <w:t xml:space="preserve">100.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the working diagnosis</w:t>
      </w:r>
    </w:p>
    <w:p>
      <w:pPr>
        <w:pStyle w:val="ListBullet"/>
        <w:spacing w:after="40"/>
      </w:pPr>
      <w:r>
        <w:rPr>
          <w:b/>
          <w:sz w:val="20"/>
        </w:rPr>
        <w:t xml:space="preserve">101.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the evidence from this encounter that supports it</w:t>
      </w:r>
    </w:p>
    <w:p>
      <w:pPr>
        <w:pStyle w:val="Heading2"/>
        <w:spacing w:before="200" w:after="100"/>
      </w:pPr>
      <w:r>
        <w:rPr>
          <w:rFonts w:ascii="Georgia" w:hAnsi="Georgia"/>
          <w:color w:val="17494B"/>
        </w:rPr>
        <w:t>07 Treatment Plan &amp; Patient Education</w:t>
      </w:r>
    </w:p>
    <w:p>
      <w:pPr>
        <w:spacing w:after="120"/>
      </w:pPr>
      <w:r>
        <w:rPr>
          <w:b w:val="0"/>
          <w:i w:val="0"/>
        </w:rPr>
        <w:t>The plan is a graded component in its own right, and patient education is named explicitly in the station's component list — it is not optional garnish.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Treatment plan</w:t>
      </w:r>
    </w:p>
    <w:p>
      <w:pPr>
        <w:pStyle w:val="ListBullet"/>
        <w:spacing w:after="40"/>
      </w:pPr>
      <w:r>
        <w:rPr>
          <w:b/>
          <w:sz w:val="20"/>
        </w:rPr>
        <w:t xml:space="preserve">102.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whether the condition is managed symptomatically or requires directed treatment</w:t>
      </w:r>
    </w:p>
    <w:p>
      <w:pPr>
        <w:pStyle w:val="ListBullet"/>
        <w:spacing w:after="40"/>
      </w:pPr>
      <w:r>
        <w:rPr>
          <w:b/>
          <w:sz w:val="20"/>
        </w:rPr>
        <w:t xml:space="preserve">103.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Addresses pain control</w:t>
      </w:r>
    </w:p>
    <w:p>
      <w:pPr>
        <w:pStyle w:val="ListBullet"/>
        <w:spacing w:after="40"/>
      </w:pPr>
      <w:r>
        <w:rPr>
          <w:b/>
          <w:sz w:val="20"/>
        </w:rPr>
        <w:t xml:space="preserve">104.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whether an antimicrobial is indicated, and why or why not</w:t>
      </w:r>
      <w:r>
        <w:rPr>
          <w:sz w:val="20"/>
        </w:rPr>
        <w:br/>
      </w:r>
      <w:r>
        <w:rPr>
          <w:b w:val="0"/>
          <w:i w:val="0"/>
          <w:sz w:val="20"/>
        </w:rPr>
        <w:t>Being able to justify NOT prescribing is as gradeable as prescribing.</w:t>
      </w:r>
    </w:p>
    <w:p>
      <w:pPr>
        <w:pStyle w:val="ListBullet"/>
        <w:spacing w:after="40"/>
      </w:pPr>
      <w:r>
        <w:rPr>
          <w:b/>
          <w:sz w:val="20"/>
        </w:rPr>
        <w:t xml:space="preserve">105.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any red flags that would change the plan or prompt referral</w:t>
      </w:r>
    </w:p>
    <w:p>
      <w:pPr>
        <w:pStyle w:val="ListBullet"/>
        <w:spacing w:after="40"/>
      </w:pPr>
      <w:r>
        <w:rPr>
          <w:b/>
          <w:sz w:val="20"/>
        </w:rPr>
        <w:t xml:space="preserve">106.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what would prompt referral to ear, nose and throat surgery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Patient education</w:t>
      </w:r>
    </w:p>
    <w:p>
      <w:pPr>
        <w:pStyle w:val="ListBullet"/>
        <w:spacing w:after="40"/>
      </w:pPr>
      <w:r>
        <w:rPr>
          <w:b/>
          <w:sz w:val="20"/>
        </w:rPr>
        <w:t xml:space="preserve">107.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Explains the diagnosis in plain language, without medical jargon</w:t>
      </w:r>
      <w:r>
        <w:rPr>
          <w:sz w:val="20"/>
        </w:rPr>
        <w:br/>
      </w:r>
      <w:r>
        <w:rPr>
          <w:b w:val="0"/>
          <w:i w:val="0"/>
          <w:sz w:val="20"/>
        </w:rPr>
        <w:t>Adapting style and content to the patient is a graded professional behavior.</w:t>
      </w:r>
    </w:p>
    <w:p>
      <w:pPr>
        <w:pStyle w:val="ListBullet"/>
        <w:spacing w:after="40"/>
      </w:pPr>
      <w:r>
        <w:rPr>
          <w:b/>
          <w:sz w:val="20"/>
        </w:rPr>
        <w:t xml:space="preserve">108.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Explains what the treatment is and why it is being recommended</w:t>
      </w:r>
    </w:p>
    <w:p>
      <w:pPr>
        <w:pStyle w:val="ListBullet"/>
        <w:spacing w:after="40"/>
      </w:pPr>
      <w:r>
        <w:rPr>
          <w:b/>
          <w:sz w:val="20"/>
        </w:rPr>
        <w:t xml:space="preserve">109.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return precautions — what would bring the patient back sooner</w:t>
      </w:r>
    </w:p>
    <w:p>
      <w:pPr>
        <w:pStyle w:val="ListBullet"/>
        <w:spacing w:after="40"/>
      </w:pPr>
      <w:r>
        <w:rPr>
          <w:b/>
          <w:sz w:val="20"/>
        </w:rPr>
        <w:t xml:space="preserve">110.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Confirms understanding and invites questions</w:t>
      </w:r>
      <w:r>
        <w:rPr>
          <w:sz w:val="20"/>
        </w:rPr>
        <w:br/>
      </w:r>
      <w:r>
        <w:rPr>
          <w:i/>
          <w:color w:val="335566"/>
          <w:sz w:val="20"/>
        </w:rPr>
        <w:t>"What questions do you have for me?"</w:t>
      </w:r>
    </w:p>
    <w:p>
      <w:pPr>
        <w:pStyle w:val="Heading3"/>
        <w:spacing w:before="200" w:after="100"/>
      </w:pPr>
      <w:r>
        <w:rPr>
          <w:rFonts w:ascii="Georgia" w:hAnsi="Georgia"/>
          <w:color w:val="17494B"/>
        </w:rPr>
        <w:t>Closure</w:t>
      </w:r>
    </w:p>
    <w:p>
      <w:pPr>
        <w:pStyle w:val="ListBullet"/>
        <w:spacing w:after="40"/>
      </w:pPr>
      <w:r>
        <w:rPr>
          <w:b/>
          <w:sz w:val="20"/>
        </w:rPr>
        <w:t xml:space="preserve">111.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the follow-up interval</w:t>
      </w:r>
    </w:p>
    <w:p>
      <w:pPr>
        <w:pStyle w:val="ListBullet"/>
        <w:spacing w:after="40"/>
      </w:pPr>
      <w:r>
        <w:rPr>
          <w:b/>
          <w:sz w:val="20"/>
        </w:rPr>
        <w:t xml:space="preserve">112.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Thanks the patient and closes the encounter</w:t>
      </w:r>
    </w:p>
    <w:p>
      <w:pPr>
        <w:pStyle w:val="ListBullet"/>
        <w:spacing w:after="40"/>
      </w:pPr>
      <w:r>
        <w:rPr>
          <w:b/>
          <w:sz w:val="20"/>
        </w:rPr>
        <w:t xml:space="preserve">113.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Performs hand hygiene on the way out</w:t>
      </w:r>
    </w:p>
    <w:p>
      <w:pPr>
        <w:pStyle w:val="Heading2"/>
        <w:spacing w:before="200" w:after="100"/>
      </w:pPr>
      <w:r>
        <w:rPr>
          <w:rFonts w:ascii="Georgia" w:hAnsi="Georgia"/>
          <w:color w:val="17494B"/>
        </w:rPr>
        <w:t>08 One-Minute Case Presentation</w:t>
      </w:r>
    </w:p>
    <w:p>
      <w:pPr>
        <w:spacing w:after="120"/>
      </w:pPr>
      <w:r>
        <w:rPr>
          <w:b w:val="0"/>
          <w:i w:val="0"/>
        </w:rPr>
        <w:t>Delivered at the end of the station. A well-organized vignette that describes the patient and the clinical problem — not the note read aloud.</w:t>
      </w:r>
    </w:p>
    <w:p>
      <w:pPr>
        <w:spacing w:after="120"/>
      </w:pPr>
      <w:r>
        <w:rPr>
          <w:b/>
          <w:i w:val="0"/>
        </w:rPr>
        <w:t>The test of a good presentation —</w:t>
      </w:r>
      <w:r>
        <w:rPr>
          <w:b w:val="0"/>
          <w:i w:val="0"/>
        </w:rPr>
        <w:t xml:space="preserve"> it leads your facilitator to the </w:t>
      </w:r>
      <w:r>
        <w:rPr>
          <w:b/>
          <w:i w:val="0"/>
        </w:rPr>
        <w:t>same differential you formulated</w:t>
      </w:r>
      <w:r>
        <w:rPr>
          <w:b w:val="0"/>
          <w:i w:val="0"/>
        </w:rPr>
        <w:t>. If they reach a different one, the presentation failed even if every fact in it was true.</w:t>
      </w:r>
    </w:p>
    <w:p>
      <w:pPr>
        <w:pStyle w:val="ListBullet"/>
        <w:spacing w:after="40"/>
      </w:pPr>
      <w:r>
        <w:rPr>
          <w:b/>
          <w:sz w:val="20"/>
        </w:rPr>
        <w:t xml:space="preserve">114.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Opens with the past medical history and the chief complaint</w:t>
      </w:r>
      <w:r>
        <w:rPr>
          <w:sz w:val="20"/>
        </w:rPr>
        <w:br/>
      </w:r>
      <w:r>
        <w:rPr>
          <w:i/>
          <w:color w:val="335566"/>
          <w:sz w:val="20"/>
        </w:rPr>
        <w:t>"This is a [age]-year-old [patient] with a history of [past medical history] presenting with [chief complaint]."</w:t>
      </w:r>
    </w:p>
    <w:p>
      <w:pPr>
        <w:pStyle w:val="ListBullet"/>
        <w:spacing w:after="40"/>
      </w:pPr>
      <w:r>
        <w:rPr>
          <w:b/>
          <w:sz w:val="20"/>
        </w:rPr>
        <w:t xml:space="preserve">115.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Gives the pertinent positives from the history</w:t>
      </w:r>
    </w:p>
    <w:p>
      <w:pPr>
        <w:pStyle w:val="ListBullet"/>
        <w:spacing w:after="40"/>
      </w:pPr>
      <w:r>
        <w:rPr>
          <w:b/>
          <w:sz w:val="20"/>
        </w:rPr>
        <w:t xml:space="preserve">116.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Gives the pertinent negatives from the history</w:t>
      </w:r>
      <w:r>
        <w:rPr>
          <w:sz w:val="20"/>
        </w:rPr>
        <w:br/>
      </w:r>
      <w:r>
        <w:rPr>
          <w:b w:val="0"/>
          <w:i w:val="0"/>
          <w:sz w:val="20"/>
        </w:rPr>
        <w:t>Negatives carry as much weight as positives. They are how the listener sees what you ruled out.</w:t>
      </w:r>
    </w:p>
    <w:p>
      <w:pPr>
        <w:pStyle w:val="ListBullet"/>
        <w:spacing w:after="40"/>
      </w:pPr>
      <w:r>
        <w:rPr>
          <w:b/>
          <w:sz w:val="20"/>
        </w:rPr>
        <w:t xml:space="preserve">117.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Gives the pertinent positives and negatives from the ear, nose and throat examination</w:t>
      </w:r>
    </w:p>
    <w:p>
      <w:pPr>
        <w:pStyle w:val="ListBullet"/>
        <w:spacing w:after="40"/>
      </w:pPr>
      <w:r>
        <w:rPr>
          <w:b/>
          <w:sz w:val="20"/>
        </w:rPr>
        <w:t xml:space="preserve">118.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Presents mostly in the order the history was obtained and the examination performed</w:t>
      </w:r>
    </w:p>
    <w:p>
      <w:pPr>
        <w:pStyle w:val="ListBullet"/>
        <w:spacing w:after="40"/>
      </w:pPr>
      <w:r>
        <w:rPr>
          <w:b/>
          <w:sz w:val="20"/>
        </w:rPr>
        <w:t xml:space="preserve">119.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the differential</w:t>
      </w:r>
    </w:p>
    <w:p>
      <w:pPr>
        <w:pStyle w:val="ListBullet"/>
        <w:spacing w:after="40"/>
      </w:pPr>
      <w:r>
        <w:rPr>
          <w:b/>
          <w:sz w:val="20"/>
        </w:rPr>
        <w:t xml:space="preserve">120.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the studies and the diagnosis</w:t>
      </w:r>
    </w:p>
    <w:p>
      <w:pPr>
        <w:pStyle w:val="ListBullet"/>
        <w:spacing w:after="40"/>
      </w:pPr>
      <w:r>
        <w:rPr>
          <w:b/>
          <w:sz w:val="20"/>
        </w:rPr>
        <w:t xml:space="preserve">121.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States the plan</w:t>
      </w:r>
    </w:p>
    <w:p>
      <w:pPr>
        <w:pStyle w:val="ListBullet"/>
        <w:spacing w:after="40"/>
      </w:pPr>
      <w:r>
        <w:rPr>
          <w:b/>
          <w:sz w:val="20"/>
        </w:rPr>
        <w:t xml:space="preserve">122.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Delivers it without reading from notes</w:t>
      </w:r>
      <w:r>
        <w:rPr>
          <w:sz w:val="20"/>
        </w:rPr>
        <w:br/>
      </w:r>
      <w:r>
        <w:rPr>
          <w:b w:val="0"/>
          <w:i w:val="0"/>
          <w:sz w:val="20"/>
        </w:rPr>
        <w:t>Reading works directly against helping the listener visualize the patient.</w:t>
      </w:r>
    </w:p>
    <w:p>
      <w:pPr>
        <w:pStyle w:val="ListBullet"/>
        <w:spacing w:after="40"/>
      </w:pPr>
      <w:r>
        <w:rPr>
          <w:b/>
          <w:sz w:val="20"/>
        </w:rPr>
        <w:t xml:space="preserve">123.  </w:t>
      </w:r>
      <w:r>
        <w:rPr>
          <w:sz w:val="20"/>
        </w:rPr>
        <w:t xml:space="preserve">☐ </w:t>
      </w:r>
      <w:r>
        <w:rPr>
          <w:b w:val="0"/>
          <w:i w:val="0"/>
          <w:sz w:val="20"/>
        </w:rPr>
        <w:t>Keeps it to about one minute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